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Group Risk — Quarterly Update to the Risk Committee (Q1 FY2026)</w:t>
      </w:r>
    </w:p>
    <w:p>
      <w:r>
        <w:t>For: Risk Committee, 28 April 2026 | Prepared by: Group Risk (Will Henderson, Head of Risk) | Sponsor: Hadar Caspit (Group CFO, Risk Committee Chair). Confidential.</w:t>
      </w:r>
    </w:p>
    <w:p>
      <w:pPr>
        <w:pStyle w:val="Heading1"/>
      </w:pPr>
      <w:r>
        <w:t>1. Executive summary</w:t>
      </w:r>
    </w:p>
    <w:p>
      <w:r>
        <w:t>Q1 FY2026 was characterised by an emerging credit-cycle softening in Banking, continued sovereign and FX headwinds in Indonesia, and a deteriorating Scope 3 disclosure position as data-quality gaps surfaced ahead of FY2025 reporting. Net risk profile is Amber overall (3 risks Red, 8 Amber, 14 Green).</w:t>
      </w:r>
    </w:p>
    <w:p>
      <w:r>
        <w:t>The most material movements quarter-on-quarter: (a) Credit risk — banking division — moved from Amber to Red as NPL formation indicator crossed appetite threshold; (b) Cyber risk improved from Amber to Green following MFA rollout completion and SOC maturity Tier 2 certification; (c) Climate-physical risk (plantation) was reclassified from Green to Amber after RCP 8.5 scenario refresh.</w:t>
      </w:r>
    </w:p>
    <w:p>
      <w:pPr>
        <w:pStyle w:val="Heading1"/>
      </w:pPr>
      <w:r>
        <w:t>2. Top risks vs appetite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Q4 FY25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Q1 FY26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t>Credit — Banking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Red</w:t>
            </w:r>
          </w:p>
        </w:tc>
        <w:tc>
          <w:tcPr>
            <w:tcW w:type="dxa" w:w="1728"/>
          </w:tcPr>
          <w:p>
            <w:r>
              <w:t>Deteriorating</w:t>
            </w:r>
          </w:p>
        </w:tc>
        <w:tc>
          <w:tcPr>
            <w:tcW w:type="dxa" w:w="1728"/>
          </w:tcPr>
          <w:p>
            <w:r>
              <w:t>Head of Risk (Banking)</w:t>
            </w:r>
          </w:p>
        </w:tc>
      </w:tr>
      <w:tr>
        <w:tc>
          <w:tcPr>
            <w:tcW w:type="dxa" w:w="1728"/>
          </w:tcPr>
          <w:p>
            <w:r>
              <w:t>FX volatility — IDR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Stable adverse</w:t>
            </w:r>
          </w:p>
        </w:tc>
        <w:tc>
          <w:tcPr>
            <w:tcW w:type="dxa" w:w="1728"/>
          </w:tcPr>
          <w:p>
            <w:r>
              <w:t>Group Treasurer</w:t>
            </w:r>
          </w:p>
        </w:tc>
      </w:tr>
      <w:tr>
        <w:tc>
          <w:tcPr>
            <w:tcW w:type="dxa" w:w="1728"/>
          </w:tcPr>
          <w:p>
            <w:r>
              <w:t>Climate — physical (plantation)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Deteriorating</w:t>
            </w:r>
          </w:p>
        </w:tc>
        <w:tc>
          <w:tcPr>
            <w:tcW w:type="dxa" w:w="1728"/>
          </w:tcPr>
          <w:p>
            <w:r>
              <w:t>Head of Plantation</w:t>
            </w:r>
          </w:p>
        </w:tc>
      </w:tr>
      <w:tr>
        <w:tc>
          <w:tcPr>
            <w:tcW w:type="dxa" w:w="1728"/>
          </w:tcPr>
          <w:p>
            <w:r>
              <w:t>Climate — transition (Indonesia carbon tax)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Stable adverse</w:t>
            </w:r>
          </w:p>
        </w:tc>
        <w:tc>
          <w:tcPr>
            <w:tcW w:type="dxa" w:w="1728"/>
          </w:tcPr>
          <w:p>
            <w:r>
              <w:t>Group CFO</w:t>
            </w:r>
          </w:p>
        </w:tc>
      </w:tr>
      <w:tr>
        <w:tc>
          <w:tcPr>
            <w:tcW w:type="dxa" w:w="1728"/>
          </w:tcPr>
          <w:p>
            <w:r>
              <w:t>Cyber + IT resilience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  <w:tc>
          <w:tcPr>
            <w:tcW w:type="dxa" w:w="1728"/>
          </w:tcPr>
          <w:p>
            <w:r>
              <w:t>Improving</w:t>
            </w:r>
          </w:p>
        </w:tc>
        <w:tc>
          <w:tcPr>
            <w:tcW w:type="dxa" w:w="1728"/>
          </w:tcPr>
          <w:p>
            <w:r>
              <w:t>CIO</w:t>
            </w:r>
          </w:p>
        </w:tc>
      </w:tr>
      <w:tr>
        <w:tc>
          <w:tcPr>
            <w:tcW w:type="dxa" w:w="1728"/>
          </w:tcPr>
          <w:p>
            <w:r>
              <w:t>Conduct + AML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Stable</w:t>
            </w:r>
          </w:p>
        </w:tc>
        <w:tc>
          <w:tcPr>
            <w:tcW w:type="dxa" w:w="1728"/>
          </w:tcPr>
          <w:p>
            <w:r>
              <w:t>Group Compliance</w:t>
            </w:r>
          </w:p>
        </w:tc>
      </w:tr>
      <w:tr>
        <w:tc>
          <w:tcPr>
            <w:tcW w:type="dxa" w:w="1728"/>
          </w:tcPr>
          <w:p>
            <w:r>
              <w:t>Liquidity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  <w:tc>
          <w:tcPr>
            <w:tcW w:type="dxa" w:w="1728"/>
          </w:tcPr>
          <w:p>
            <w:r>
              <w:t>Stable</w:t>
            </w:r>
          </w:p>
        </w:tc>
        <w:tc>
          <w:tcPr>
            <w:tcW w:type="dxa" w:w="1728"/>
          </w:tcPr>
          <w:p>
            <w:r>
              <w:t>Group Treasurer</w:t>
            </w:r>
          </w:p>
        </w:tc>
      </w:tr>
      <w:tr>
        <w:tc>
          <w:tcPr>
            <w:tcW w:type="dxa" w:w="1728"/>
          </w:tcPr>
          <w:p>
            <w:r>
              <w:t>Operational — property handover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Stable adverse</w:t>
            </w:r>
          </w:p>
        </w:tc>
        <w:tc>
          <w:tcPr>
            <w:tcW w:type="dxa" w:w="1728"/>
          </w:tcPr>
          <w:p>
            <w:r>
              <w:t>Head of Property</w:t>
            </w:r>
          </w:p>
        </w:tc>
      </w:tr>
      <w:tr>
        <w:tc>
          <w:tcPr>
            <w:tcW w:type="dxa" w:w="1728"/>
          </w:tcPr>
          <w:p>
            <w:r>
              <w:t>Regulatory — IFRS S2 disclosure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Stable adverse</w:t>
            </w:r>
          </w:p>
        </w:tc>
        <w:tc>
          <w:tcPr>
            <w:tcW w:type="dxa" w:w="1728"/>
          </w:tcPr>
          <w:p>
            <w:r>
              <w:t>Group CFO</w:t>
            </w:r>
          </w:p>
        </w:tc>
      </w:tr>
      <w:tr>
        <w:tc>
          <w:tcPr>
            <w:tcW w:type="dxa" w:w="1728"/>
          </w:tcPr>
          <w:p>
            <w:r>
              <w:t>Geopolitical — supply chain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Deteriorating</w:t>
            </w:r>
          </w:p>
        </w:tc>
        <w:tc>
          <w:tcPr>
            <w:tcW w:type="dxa" w:w="1728"/>
          </w:tcPr>
          <w:p>
            <w:r>
              <w:t>COO</w:t>
            </w:r>
          </w:p>
        </w:tc>
      </w:tr>
    </w:tbl>
    <w:p>
      <w:pPr>
        <w:pStyle w:val="Heading1"/>
      </w:pPr>
      <w:r>
        <w:t>3. Risk appetite breaches (Red items)</w:t>
      </w:r>
    </w:p>
    <w:p>
      <w:pPr>
        <w:pStyle w:val="ListBullet"/>
      </w:pPr>
      <w:r>
        <w:t>Banking — NPL formation 12-month trailing 2.84% vs appetite 2.5%. CAR remains comfortably above limits but capital generation slowing.</w:t>
      </w:r>
    </w:p>
    <w:p>
      <w:pPr>
        <w:pStyle w:val="ListBullet"/>
      </w:pPr>
      <w:r>
        <w:t>Operational — property handover backlog at 142 units vs appetite 100; H2 ramp plan in progress.</w:t>
      </w:r>
    </w:p>
    <w:p>
      <w:pPr>
        <w:pStyle w:val="ListBullet"/>
      </w:pPr>
      <w:r>
        <w:t>Climate — Scope 3 data quality High variance on 8 of 14 categories vs appetite &lt; 4. Remediation programme funded MYR 6.4M FY2026-FY2027.</w:t>
      </w:r>
    </w:p>
    <w:p>
      <w:pPr>
        <w:pStyle w:val="Heading1"/>
      </w:pPr>
      <w:r>
        <w:t>4. Emerging risks (next 12 months)</w:t>
      </w:r>
    </w:p>
    <w:p>
      <w:pPr>
        <w:pStyle w:val="ListBullet"/>
      </w:pPr>
      <w:r>
        <w:t>Sovereign credit watchlist — 2 ASEAN sovereigns flagged by rating agencies; review FX exposure quarterly.</w:t>
      </w:r>
    </w:p>
    <w:p>
      <w:pPr>
        <w:pStyle w:val="ListBullet"/>
      </w:pPr>
      <w:r>
        <w:t>Pillar 2 minimum tax — first-time application FY2025; possible top-up tax of MYR 28-45M.</w:t>
      </w:r>
    </w:p>
    <w:p>
      <w:pPr>
        <w:pStyle w:val="ListBullet"/>
      </w:pPr>
      <w:r>
        <w:t>AI + GenAI usage — governance framework in flight; risk of data leakage and IP exposure.</w:t>
      </w:r>
    </w:p>
    <w:p>
      <w:pPr>
        <w:pStyle w:val="ListBullet"/>
      </w:pPr>
      <w:r>
        <w:t>Talent + key-person risk — 11 critical roles flagged for succession refresh.</w:t>
      </w:r>
    </w:p>
    <w:p>
      <w:pPr>
        <w:pStyle w:val="ListBullet"/>
      </w:pPr>
      <w:r>
        <w:t>Supply chain — chip + commodity sourcing concentration; mitigation via dual-sourcing programme.</w:t>
      </w:r>
    </w:p>
    <w:p>
      <w:pPr>
        <w:pStyle w:val="Heading1"/>
      </w:pPr>
      <w:r>
        <w:t>5. Stress + scenario testing</w:t>
      </w:r>
    </w:p>
    <w:p>
      <w:r>
        <w:t>A 12-month forward stress was completed in Q1, combining: NPL +200bps in Banking, IDR -15% to MYR, palm oil price -RM 800/MT, and a 4-week IT outage. Group EBITDA impact in the base + stress: -MYR 1.8B (-26%). Covenant headroom remains positive across all facilities under stress, with the tightest at Interest Coverage 4.4x (vs covenant 4.0x).</w:t>
      </w:r>
    </w:p>
    <w:p>
      <w:pPr>
        <w:pStyle w:val="Heading1"/>
      </w:pPr>
      <w:r>
        <w:t>6. Risk Committee requests</w:t>
      </w:r>
    </w:p>
    <w:p>
      <w:pPr>
        <w:pStyle w:val="ListNumber"/>
      </w:pPr>
      <w:r>
        <w:t>Approve update to risk appetite statement (separate paper) — recalibration of credit + climate metrics.</w:t>
      </w:r>
    </w:p>
    <w:p>
      <w:pPr>
        <w:pStyle w:val="ListNumber"/>
      </w:pPr>
      <w:r>
        <w:t>Note Red status for 3 items and the remediation plans tabled.</w:t>
      </w:r>
    </w:p>
    <w:p>
      <w:pPr>
        <w:pStyle w:val="ListNumber"/>
      </w:pPr>
      <w:r>
        <w:t>Endorse risk-accept paper for 2 climate-physical legacy items (residual MYR 2.8M).</w:t>
      </w:r>
    </w:p>
    <w:p>
      <w:pPr>
        <w:pStyle w:val="ListNumber"/>
      </w:pPr>
      <w:r>
        <w:t>Approve MYR 6.4M remediation budget for Scope 3 data quality.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