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Strategy Memo — Capital Allocation Re-baselining FY2026</w:t>
      </w:r>
    </w:p>
    <w:p>
      <w:r>
        <w:t>For: Board Strategy Committee, 28 April 2026 | Author: Mod Admin (Group Strategy Director) | Sponsor: Hadar Caspit (Group CFO). Confidential.</w:t>
      </w:r>
    </w:p>
    <w:p>
      <w:pPr>
        <w:pStyle w:val="Heading1"/>
      </w:pPr>
      <w:r>
        <w:t>1. The decision we want the Board to take</w:t>
      </w:r>
    </w:p>
    <w:p>
      <w:r>
        <w:t>The Board is asked to approve a re-baselining of the FY2026-FY2030 capital allocation envelope from MYR 12.4B to MYR 14.8B (a 19% uplift) and to formally tilt the allocation toward Banking + Property and away from Plantation + Logistics. The funding profile is preserved (51% internal, 31% sukuk, 18% bank facilities), so no additional shareholder dilution is required.</w:t>
      </w:r>
    </w:p>
    <w:p>
      <w:pPr>
        <w:pStyle w:val="Heading1"/>
      </w:pPr>
      <w:r>
        <w:t>2. Why we propose this re-baselining</w:t>
      </w:r>
    </w:p>
    <w:p>
      <w:pPr>
        <w:pStyle w:val="ListBullet"/>
      </w:pPr>
      <w:r>
        <w:t>Banking integration with Apex Banking Group has progressed faster than planned; ROIC trajectory now ahead of underwriting case by 80bps; incremental MYR 1.6B capex unlocks the next phase of digital banking + cross-sell.</w:t>
      </w:r>
    </w:p>
    <w:p>
      <w:pPr>
        <w:pStyle w:val="ListBullet"/>
      </w:pPr>
      <w:r>
        <w:t>Property — Bandar Zava Phase 2 will be MYR 600M over-budget due to specification upgrades and a sub-contractor litigation provision. Proposed: contain to MYR 350M overrun + accelerate Phase 3 to capture demand.</w:t>
      </w:r>
    </w:p>
    <w:p>
      <w:pPr>
        <w:pStyle w:val="ListBullet"/>
      </w:pPr>
      <w:r>
        <w:t>Plantation — replanting capex demand is MYR 480M LESS than originally modelled because of yield-enhancement programme outperformance. Funds redeployable.</w:t>
      </w:r>
    </w:p>
    <w:p>
      <w:pPr>
        <w:pStyle w:val="ListBullet"/>
      </w:pPr>
      <w:r>
        <w:t>Logistics — last-mile JV with Tropika Sdn Bhd materially de-risked; only MYR 220M of the originally-modelled MYR 580M is now required.</w:t>
      </w:r>
    </w:p>
    <w:p>
      <w:pPr>
        <w:pStyle w:val="Heading1"/>
      </w:pPr>
      <w:r>
        <w:t>3. Proposed allocation (MYR B, FY2026-FY2030)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Division</w:t>
            </w:r>
          </w:p>
        </w:tc>
        <w:tc>
          <w:tcPr>
            <w:tcW w:type="dxa" w:w="1728"/>
          </w:tcPr>
          <w:p>
            <w:r>
              <w:rPr>
                <w:b/>
              </w:rPr>
              <w:t>Current envelope</w:t>
            </w:r>
          </w:p>
        </w:tc>
        <w:tc>
          <w:tcPr>
            <w:tcW w:type="dxa" w:w="1728"/>
          </w:tcPr>
          <w:p>
            <w:r>
              <w:rPr>
                <w:b/>
              </w:rPr>
              <w:t>Proposed</w:t>
            </w:r>
          </w:p>
        </w:tc>
        <w:tc>
          <w:tcPr>
            <w:tcW w:type="dxa" w:w="1728"/>
          </w:tcPr>
          <w:p>
            <w:r>
              <w:rPr>
                <w:b/>
              </w:rPr>
              <w:t>Delta</w:t>
            </w:r>
          </w:p>
        </w:tc>
        <w:tc>
          <w:tcPr>
            <w:tcW w:type="dxa" w:w="1728"/>
          </w:tcPr>
          <w:p>
            <w:r>
              <w:rPr>
                <w:b/>
              </w:rPr>
              <w:t>Rationale</w:t>
            </w:r>
          </w:p>
        </w:tc>
      </w:tr>
      <w:tr>
        <w:tc>
          <w:tcPr>
            <w:tcW w:type="dxa" w:w="1728"/>
          </w:tcPr>
          <w:p>
            <w:r>
              <w:t>Banking</w:t>
            </w:r>
          </w:p>
        </w:tc>
        <w:tc>
          <w:tcPr>
            <w:tcW w:type="dxa" w:w="1728"/>
          </w:tcPr>
          <w:p>
            <w:r>
              <w:t>2.8</w:t>
            </w:r>
          </w:p>
        </w:tc>
        <w:tc>
          <w:tcPr>
            <w:tcW w:type="dxa" w:w="1728"/>
          </w:tcPr>
          <w:p>
            <w:r>
              <w:t>4.4</w:t>
            </w:r>
          </w:p>
        </w:tc>
        <w:tc>
          <w:tcPr>
            <w:tcW w:type="dxa" w:w="1728"/>
          </w:tcPr>
          <w:p>
            <w:r>
              <w:t>+1.6</w:t>
            </w:r>
          </w:p>
        </w:tc>
        <w:tc>
          <w:tcPr>
            <w:tcW w:type="dxa" w:w="1728"/>
          </w:tcPr>
          <w:p>
            <w:r>
              <w:t>Apex integration phase 2 + digital</w:t>
            </w:r>
          </w:p>
        </w:tc>
      </w:tr>
      <w:tr>
        <w:tc>
          <w:tcPr>
            <w:tcW w:type="dxa" w:w="1728"/>
          </w:tcPr>
          <w:p>
            <w:r>
              <w:t>Property</w:t>
            </w:r>
          </w:p>
        </w:tc>
        <w:tc>
          <w:tcPr>
            <w:tcW w:type="dxa" w:w="1728"/>
          </w:tcPr>
          <w:p>
            <w:r>
              <w:t>2.4</w:t>
            </w:r>
          </w:p>
        </w:tc>
        <w:tc>
          <w:tcPr>
            <w:tcW w:type="dxa" w:w="1728"/>
          </w:tcPr>
          <w:p>
            <w:r>
              <w:t>2.7</w:t>
            </w:r>
          </w:p>
        </w:tc>
        <w:tc>
          <w:tcPr>
            <w:tcW w:type="dxa" w:w="1728"/>
          </w:tcPr>
          <w:p>
            <w:r>
              <w:t>+0.3</w:t>
            </w:r>
          </w:p>
        </w:tc>
        <w:tc>
          <w:tcPr>
            <w:tcW w:type="dxa" w:w="1728"/>
          </w:tcPr>
          <w:p>
            <w:r>
              <w:t>Phase 2 overrun + Phase 3 acceleration</w:t>
            </w:r>
          </w:p>
        </w:tc>
      </w:tr>
      <w:tr>
        <w:tc>
          <w:tcPr>
            <w:tcW w:type="dxa" w:w="1728"/>
          </w:tcPr>
          <w:p>
            <w:r>
              <w:t>Insurance</w:t>
            </w:r>
          </w:p>
        </w:tc>
        <w:tc>
          <w:tcPr>
            <w:tcW w:type="dxa" w:w="1728"/>
          </w:tcPr>
          <w:p>
            <w:r>
              <w:t>0.8</w:t>
            </w:r>
          </w:p>
        </w:tc>
        <w:tc>
          <w:tcPr>
            <w:tcW w:type="dxa" w:w="1728"/>
          </w:tcPr>
          <w:p>
            <w:r>
              <w:t>0.8</w:t>
            </w:r>
          </w:p>
        </w:tc>
        <w:tc>
          <w:tcPr>
            <w:tcW w:type="dxa" w:w="1728"/>
          </w:tcPr>
          <w:p>
            <w:r>
              <w:t>0.0</w:t>
            </w:r>
          </w:p>
        </w:tc>
        <w:tc>
          <w:tcPr>
            <w:tcW w:type="dxa" w:w="1728"/>
          </w:tcPr>
          <w:p>
            <w:r>
              <w:t>No change</w:t>
            </w:r>
          </w:p>
        </w:tc>
      </w:tr>
      <w:tr>
        <w:tc>
          <w:tcPr>
            <w:tcW w:type="dxa" w:w="1728"/>
          </w:tcPr>
          <w:p>
            <w:r>
              <w:t>Healthcare</w:t>
            </w:r>
          </w:p>
        </w:tc>
        <w:tc>
          <w:tcPr>
            <w:tcW w:type="dxa" w:w="1728"/>
          </w:tcPr>
          <w:p>
            <w:r>
              <w:t>1.6</w:t>
            </w:r>
          </w:p>
        </w:tc>
        <w:tc>
          <w:tcPr>
            <w:tcW w:type="dxa" w:w="1728"/>
          </w:tcPr>
          <w:p>
            <w:r>
              <w:t>2.1</w:t>
            </w:r>
          </w:p>
        </w:tc>
        <w:tc>
          <w:tcPr>
            <w:tcW w:type="dxa" w:w="1728"/>
          </w:tcPr>
          <w:p>
            <w:r>
              <w:t>+0.5</w:t>
            </w:r>
          </w:p>
        </w:tc>
        <w:tc>
          <w:tcPr>
            <w:tcW w:type="dxa" w:w="1728"/>
          </w:tcPr>
          <w:p>
            <w:r>
              <w:t>Specialty hospital + tele-medicine</w:t>
            </w:r>
          </w:p>
        </w:tc>
      </w:tr>
      <w:tr>
        <w:tc>
          <w:tcPr>
            <w:tcW w:type="dxa" w:w="1728"/>
          </w:tcPr>
          <w:p>
            <w:r>
              <w:t>Plantation</w:t>
            </w:r>
          </w:p>
        </w:tc>
        <w:tc>
          <w:tcPr>
            <w:tcW w:type="dxa" w:w="1728"/>
          </w:tcPr>
          <w:p>
            <w:r>
              <w:t>2.4</w:t>
            </w:r>
          </w:p>
        </w:tc>
        <w:tc>
          <w:tcPr>
            <w:tcW w:type="dxa" w:w="1728"/>
          </w:tcPr>
          <w:p>
            <w:r>
              <w:t>1.92</w:t>
            </w:r>
          </w:p>
        </w:tc>
        <w:tc>
          <w:tcPr>
            <w:tcW w:type="dxa" w:w="1728"/>
          </w:tcPr>
          <w:p>
            <w:r>
              <w:t>-0.48</w:t>
            </w:r>
          </w:p>
        </w:tc>
        <w:tc>
          <w:tcPr>
            <w:tcW w:type="dxa" w:w="1728"/>
          </w:tcPr>
          <w:p>
            <w:r>
              <w:t>Replanting demand lower</w:t>
            </w:r>
          </w:p>
        </w:tc>
      </w:tr>
      <w:tr>
        <w:tc>
          <w:tcPr>
            <w:tcW w:type="dxa" w:w="1728"/>
          </w:tcPr>
          <w:p>
            <w:r>
              <w:t>Logistics</w:t>
            </w:r>
          </w:p>
        </w:tc>
        <w:tc>
          <w:tcPr>
            <w:tcW w:type="dxa" w:w="1728"/>
          </w:tcPr>
          <w:p>
            <w:r>
              <w:t>0.6</w:t>
            </w:r>
          </w:p>
        </w:tc>
        <w:tc>
          <w:tcPr>
            <w:tcW w:type="dxa" w:w="1728"/>
          </w:tcPr>
          <w:p>
            <w:r>
              <w:t>0.22</w:t>
            </w:r>
          </w:p>
        </w:tc>
        <w:tc>
          <w:tcPr>
            <w:tcW w:type="dxa" w:w="1728"/>
          </w:tcPr>
          <w:p>
            <w:r>
              <w:t>-0.38</w:t>
            </w:r>
          </w:p>
        </w:tc>
        <w:tc>
          <w:tcPr>
            <w:tcW w:type="dxa" w:w="1728"/>
          </w:tcPr>
          <w:p>
            <w:r>
              <w:t>JV scope contraction</w:t>
            </w:r>
          </w:p>
        </w:tc>
      </w:tr>
      <w:tr>
        <w:tc>
          <w:tcPr>
            <w:tcW w:type="dxa" w:w="1728"/>
          </w:tcPr>
          <w:p>
            <w:r>
              <w:t>Telco + media</w:t>
            </w:r>
          </w:p>
        </w:tc>
        <w:tc>
          <w:tcPr>
            <w:tcW w:type="dxa" w:w="1728"/>
          </w:tcPr>
          <w:p>
            <w:r>
              <w:t>0.8</w:t>
            </w:r>
          </w:p>
        </w:tc>
        <w:tc>
          <w:tcPr>
            <w:tcW w:type="dxa" w:w="1728"/>
          </w:tcPr>
          <w:p>
            <w:r>
              <w:t>0.8</w:t>
            </w:r>
          </w:p>
        </w:tc>
        <w:tc>
          <w:tcPr>
            <w:tcW w:type="dxa" w:w="1728"/>
          </w:tcPr>
          <w:p>
            <w:r>
              <w:t>0.0</w:t>
            </w:r>
          </w:p>
        </w:tc>
        <w:tc>
          <w:tcPr>
            <w:tcW w:type="dxa" w:w="1728"/>
          </w:tcPr>
          <w:p>
            <w:r>
              <w:t>No change</w:t>
            </w:r>
          </w:p>
        </w:tc>
      </w:tr>
      <w:tr>
        <w:tc>
          <w:tcPr>
            <w:tcW w:type="dxa" w:w="1728"/>
          </w:tcPr>
          <w:p>
            <w:r>
              <w:t>Renewable energy</w:t>
            </w:r>
          </w:p>
        </w:tc>
        <w:tc>
          <w:tcPr>
            <w:tcW w:type="dxa" w:w="1728"/>
          </w:tcPr>
          <w:p>
            <w:r>
              <w:t>0.8</w:t>
            </w:r>
          </w:p>
        </w:tc>
        <w:tc>
          <w:tcPr>
            <w:tcW w:type="dxa" w:w="1728"/>
          </w:tcPr>
          <w:p>
            <w:r>
              <w:t>1.6</w:t>
            </w:r>
          </w:p>
        </w:tc>
        <w:tc>
          <w:tcPr>
            <w:tcW w:type="dxa" w:w="1728"/>
          </w:tcPr>
          <w:p>
            <w:r>
              <w:t>+0.8</w:t>
            </w:r>
          </w:p>
        </w:tc>
        <w:tc>
          <w:tcPr>
            <w:tcW w:type="dxa" w:w="1728"/>
          </w:tcPr>
          <w:p>
            <w:r>
              <w:t>PPA pipeline + grid asset</w:t>
            </w:r>
          </w:p>
        </w:tc>
      </w:tr>
      <w:tr>
        <w:tc>
          <w:tcPr>
            <w:tcW w:type="dxa" w:w="1728"/>
          </w:tcPr>
          <w:p>
            <w:r>
              <w:t>Group / corporate / digital</w:t>
            </w:r>
          </w:p>
        </w:tc>
        <w:tc>
          <w:tcPr>
            <w:tcW w:type="dxa" w:w="1728"/>
          </w:tcPr>
          <w:p>
            <w:r>
              <w:t>0.2</w:t>
            </w:r>
          </w:p>
        </w:tc>
        <w:tc>
          <w:tcPr>
            <w:tcW w:type="dxa" w:w="1728"/>
          </w:tcPr>
          <w:p>
            <w:r>
              <w:t>0.26</w:t>
            </w:r>
          </w:p>
        </w:tc>
        <w:tc>
          <w:tcPr>
            <w:tcW w:type="dxa" w:w="1728"/>
          </w:tcPr>
          <w:p>
            <w:r>
              <w:t>+0.06</w:t>
            </w:r>
          </w:p>
        </w:tc>
        <w:tc>
          <w:tcPr>
            <w:tcW w:type="dxa" w:w="1728"/>
          </w:tcPr>
          <w:p>
            <w:r>
              <w:t>Treasury system refresh</w:t>
            </w:r>
          </w:p>
        </w:tc>
      </w:tr>
      <w:tr>
        <w:tc>
          <w:tcPr>
            <w:tcW w:type="dxa" w:w="1728"/>
          </w:tcPr>
          <w:p>
            <w:r>
              <w:t>Total</w:t>
            </w:r>
          </w:p>
        </w:tc>
        <w:tc>
          <w:tcPr>
            <w:tcW w:type="dxa" w:w="1728"/>
          </w:tcPr>
          <w:p>
            <w:r>
              <w:t>12.4</w:t>
            </w:r>
          </w:p>
        </w:tc>
        <w:tc>
          <w:tcPr>
            <w:tcW w:type="dxa" w:w="1728"/>
          </w:tcPr>
          <w:p>
            <w:r>
              <w:t>14.8</w:t>
            </w:r>
          </w:p>
        </w:tc>
        <w:tc>
          <w:tcPr>
            <w:tcW w:type="dxa" w:w="1728"/>
          </w:tcPr>
          <w:p>
            <w:r>
              <w:t>+2.4</w:t>
            </w:r>
          </w:p>
        </w:tc>
        <w:tc>
          <w:tcPr>
            <w:tcW w:type="dxa" w:w="1728"/>
          </w:tcPr>
          <w:p>
            <w:r/>
          </w:p>
        </w:tc>
      </w:tr>
    </w:tbl>
    <w:p>
      <w:pPr>
        <w:pStyle w:val="Heading1"/>
      </w:pPr>
      <w:r>
        <w:t>4. Risk + sensitivity</w:t>
      </w:r>
    </w:p>
    <w:p>
      <w:r>
        <w:t>The proposal is robust under -10% revenue downside (covenant headroom &gt; 1.5x) and under -200bp PD adverse in Banking (post-allocation Tier 1 12.4%, well above 11% appetite). Cash flow break-even at MYR 14.8B is reached at FY2028 vs FY2029 in the original case.</w:t>
      </w:r>
    </w:p>
    <w:p>
      <w:pPr>
        <w:pStyle w:val="Heading1"/>
      </w:pPr>
      <w:r>
        <w:t>5. Implementation milestones</w:t>
      </w:r>
    </w:p>
    <w:p>
      <w:pPr>
        <w:pStyle w:val="ListBullet"/>
      </w:pPr>
      <w:r>
        <w:t>Board approval: 28 April 2026.</w:t>
      </w:r>
    </w:p>
    <w:p>
      <w:pPr>
        <w:pStyle w:val="ListBullet"/>
      </w:pPr>
      <w:r>
        <w:t>Q1 sukuk issuance MYR 2.4B: target pricing 1-30 May 2026.</w:t>
      </w:r>
    </w:p>
    <w:p>
      <w:pPr>
        <w:pStyle w:val="ListBullet"/>
      </w:pPr>
      <w:r>
        <w:t>Bank facility refresh MYR 1.4B: target signing 15 June 2026.</w:t>
      </w:r>
    </w:p>
    <w:p>
      <w:pPr>
        <w:pStyle w:val="ListBullet"/>
      </w:pPr>
      <w:r>
        <w:t>First capital draw (Banking phase 2): 1 July 2026.</w:t>
      </w:r>
    </w:p>
    <w:p>
      <w:pPr>
        <w:pStyle w:val="ListBullet"/>
      </w:pPr>
      <w:r>
        <w:t>Quarterly progress review to Board Strategy Committee.</w:t>
      </w:r>
    </w:p>
    <w:p>
      <w:pPr>
        <w:pStyle w:val="Heading1"/>
      </w:pPr>
      <w:r>
        <w:t>6. Resolution requested</w:t>
      </w:r>
    </w:p>
    <w:p>
      <w:r>
        <w:t>That the Board approves: (a) the re-baselining of the FY2026-FY2030 capital allocation envelope to MYR 14.8B, (b) the divisional allocation as set out in Section 3, (c) the funding plan and issuance timetable, and (d) delegation to the Group CFO to execute issuance within the parameters of this memo without further Board approval.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