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F4C81"/>
        </w:rPr>
        <w:t>Group Risk Appetite Statement</w:t>
      </w:r>
    </w:p>
    <w:p>
      <w:r>
        <w:rPr>
          <w:i/>
          <w:color w:val="6B7280"/>
        </w:rPr>
        <w:t>Zava Conglomerate — Board approved 2025-06-30 · Document ID: ZAVA-GOV-RAS-02</w:t>
      </w:r>
    </w:p>
    <w:p>
      <w:pPr>
        <w:pStyle w:val="Heading2"/>
      </w:pPr>
      <w:r>
        <w:rPr>
          <w:color w:val="1F2937"/>
        </w:rPr>
        <w:t>1. Strategic Risk Appetite</w:t>
      </w:r>
    </w:p>
    <w:p>
      <w:r>
        <w:rPr>
          <w:b w:val="0"/>
          <w:i w:val="0"/>
        </w:rPr>
        <w:t>Zava Conglomerate pursues sustainable long-term value creation. We accept moderate strategic risk where the upside is commensurate with disciplined capital allocation and clear stress-testing.</w:t>
      </w:r>
    </w:p>
    <w:p>
      <w:pPr>
        <w:pStyle w:val="Heading2"/>
      </w:pPr>
      <w:r>
        <w:rPr>
          <w:color w:val="1F2937"/>
        </w:rPr>
        <w:t>2. Operational Risk Appetite</w:t>
      </w:r>
    </w:p>
    <w:p>
      <w:r>
        <w:rPr>
          <w:b w:val="0"/>
          <w:i w:val="0"/>
        </w:rPr>
        <w:t>Zero tolerance for: regulatory non-compliance that materially threatens our licences, customer harm that breaches fiduciary duty, and material data breaches affecting PII or customer assets.</w:t>
      </w:r>
    </w:p>
    <w:p>
      <w:r>
        <w:rPr>
          <w:b w:val="0"/>
          <w:i w:val="0"/>
        </w:rPr>
        <w:t>Low tolerance for: operational incidents disrupting any Important Business Service beyond its Impact Tolerance, third-party concentration above policy thresholds.</w:t>
      </w:r>
    </w:p>
    <w:p>
      <w:pPr>
        <w:pStyle w:val="Heading2"/>
      </w:pPr>
      <w:r>
        <w:rPr>
          <w:color w:val="1F2937"/>
        </w:rPr>
        <w:t>3. Compliance Risk Appetite</w:t>
      </w:r>
    </w:p>
    <w:p>
      <w:r>
        <w:rPr>
          <w:b w:val="0"/>
          <w:i w:val="0"/>
        </w:rPr>
        <w:t>Zero tolerance for: wilful regulatory breach, market abuse, financial-crime control failure, breach of sanctions regime.</w:t>
      </w:r>
    </w:p>
    <w:p>
      <w:r>
        <w:rPr>
          <w:b w:val="0"/>
          <w:i w:val="0"/>
        </w:rPr>
        <w:t>Compliance with all binding regulatory circulars — including but not limited to those addressing operational resilience, capital adequacy, conduct of business, data protection — is non-negotiable.</w:t>
      </w:r>
    </w:p>
    <w:p>
      <w:pPr>
        <w:pStyle w:val="Heading2"/>
      </w:pPr>
      <w:r>
        <w:rPr>
          <w:color w:val="1F2937"/>
        </w:rPr>
        <w:t>4. Financial Risk Appetite</w:t>
      </w:r>
    </w:p>
    <w:p>
      <w:r>
        <w:rPr>
          <w:b w:val="0"/>
          <w:i w:val="0"/>
        </w:rPr>
        <w:t>Group Net Debt / EBITDA ceiling: 3.0x. Investment-grade credit rating maintained. Liquidity coverage ratio ≥ 130% at all times.</w:t>
      </w:r>
    </w:p>
    <w:p>
      <w:pPr>
        <w:pStyle w:val="Heading2"/>
      </w:pPr>
      <w:r>
        <w:rPr>
          <w:color w:val="1F2937"/>
        </w:rPr>
        <w:t>5. Reputational Risk Appetite</w:t>
      </w:r>
    </w:p>
    <w:p>
      <w:r>
        <w:rPr>
          <w:b w:val="0"/>
          <w:i w:val="0"/>
        </w:rPr>
        <w:t>Low tolerance — we will exit any client, market, or supplier relationship that materially damages stakeholder trust.</w:t>
      </w:r>
    </w:p>
    <w:p>
      <w:pPr>
        <w:pStyle w:val="Heading2"/>
      </w:pPr>
      <w:r>
        <w:rPr>
          <w:color w:val="1F2937"/>
        </w:rPr>
        <w:t>6. People &amp; Conduct Appetite</w:t>
      </w:r>
    </w:p>
    <w:p>
      <w:r>
        <w:rPr>
          <w:b w:val="0"/>
          <w:i w:val="0"/>
        </w:rPr>
        <w:t>Zero tolerance for breaches of the Code of Conduct, harassment, or workplace safety failures resulting in major injury or fatality.</w:t>
      </w:r>
    </w:p>
    <w:p>
      <w:pPr>
        <w:pStyle w:val="Heading2"/>
      </w:pPr>
      <w:r>
        <w:rPr>
          <w:color w:val="1F2937"/>
        </w:rPr>
        <w:t>7. Review</w:t>
      </w:r>
    </w:p>
    <w:p>
      <w:r>
        <w:rPr>
          <w:b w:val="0"/>
          <w:i w:val="0"/>
        </w:rPr>
        <w:t>This statement is reviewed annually by the Board Risk Committee. Material breaches of stated appetite are escalated to the Board within 5 business days.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