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4C81"/>
        </w:rPr>
        <w:t>Group CEO Report to the Board</w:t>
      </w:r>
    </w:p>
    <w:p>
      <w:r>
        <w:rPr>
          <w:i/>
          <w:color w:val="6B7280"/>
        </w:rPr>
        <w:t>Zava Conglomerate · Q1 FY2026 (Jan-Mar 2026) · Board Meeting 2026-05-22</w:t>
      </w:r>
    </w:p>
    <w:p>
      <w:pPr>
        <w:pStyle w:val="Heading2"/>
      </w:pPr>
      <w:r>
        <w:rPr>
          <w:color w:val="1F2937"/>
        </w:rPr>
        <w:t>1. Headline Performance</w:t>
      </w:r>
    </w:p>
    <w:p>
      <w:r>
        <w:rPr>
          <w:b w:val="0"/>
          <w:i w:val="0"/>
        </w:rPr>
        <w:t>Group revenue MYR 11.2bn (+8% YoY, +2% vs plan). Group EBITDA MYR 1.74bn (15.5% margin, -40bps vs plan). PATAMI MYR 612m. Free cash flow MYR 480m. Net debt / EBITDA stable at 2.1x.</w:t>
      </w:r>
    </w:p>
    <w:p>
      <w:r>
        <w:rPr>
          <w:b w:val="0"/>
          <w:i w:val="0"/>
        </w:rPr>
        <w:t>Three of eleven divisions are tracking below plan (Banking — credit cycle headwind; Plantation — fresh-fruit-bunch price softness; Property — slow take-up). Other eight divisions on or ahead of plan.</w:t>
      </w:r>
    </w:p>
    <w:p>
      <w:pPr>
        <w:pStyle w:val="Heading2"/>
      </w:pPr>
      <w:r>
        <w:rPr>
          <w:color w:val="1F2937"/>
        </w:rPr>
        <w:t>2. Strategic Highlights</w:t>
      </w:r>
    </w:p>
    <w:p>
      <w:pPr>
        <w:pStyle w:val="ListBullet"/>
      </w:pPr>
      <w:r>
        <w:t>Project Hawthorn (M&amp;A target — industrial digital solutions) progressed to confirmatory DD. Indicative EV MYR 720-780M.</w:t>
      </w:r>
    </w:p>
    <w:p>
      <w:pPr>
        <w:pStyle w:val="ListBullet"/>
      </w:pPr>
      <w:r>
        <w:t>Group Operational Resilience Framework draft tabled to Risk Committee on 2026-04-18; Board approval requested at this meeting (Item 7).</w:t>
      </w:r>
    </w:p>
    <w:p>
      <w:pPr>
        <w:pStyle w:val="ListBullet"/>
      </w:pPr>
      <w:r>
        <w:t>Sustainability — Scope-1 + Scope-2 emissions reduced 4.2% YoY; Scope-3 measurement scope expanded to 11 of 11 divisions.</w:t>
      </w:r>
    </w:p>
    <w:p>
      <w:pPr>
        <w:pStyle w:val="ListBullet"/>
      </w:pPr>
      <w:r>
        <w:t>Digital — 24-workload cloud RFP shortlist tabled (Item 9). Decision target Q3 2026.</w:t>
      </w:r>
    </w:p>
    <w:p>
      <w:pPr>
        <w:pStyle w:val="ListBullet"/>
      </w:pPr>
      <w:r>
        <w:t>3 senior leadership appointments made — Group CTO, Head of Cyber, Head of Cross-Border M&amp;A.</w:t>
      </w:r>
    </w:p>
    <w:p>
      <w:pPr>
        <w:pStyle w:val="Heading2"/>
      </w:pPr>
      <w:r>
        <w:rPr>
          <w:color w:val="1F2937"/>
        </w:rPr>
        <w:t>3. Material Risks</w:t>
      </w:r>
    </w:p>
    <w:p>
      <w:pPr>
        <w:pStyle w:val="ListBullet"/>
      </w:pPr>
      <w:r>
        <w:t>Regulatory — Op Resilience Circular 2026 effective Oct 2026; remediation plan being executed (3 of 12 obligations not yet started).</w:t>
      </w:r>
    </w:p>
    <w:p>
      <w:pPr>
        <w:pStyle w:val="ListBullet"/>
      </w:pPr>
      <w:r>
        <w:t>Geo-political — heightened cross-border tax scrutiny; transfer-pricing documentation refresh underway.</w:t>
      </w:r>
    </w:p>
    <w:p>
      <w:pPr>
        <w:pStyle w:val="ListBullet"/>
      </w:pPr>
      <w:r>
        <w:t>People — voluntary attrition at 14.2% Group-wide (above target 12%); retention programme refreshed.</w:t>
      </w:r>
    </w:p>
    <w:p>
      <w:pPr>
        <w:pStyle w:val="ListBullet"/>
      </w:pPr>
      <w:r>
        <w:t>Climate — physical-risk assessment for 7 plantation estates flagged Amber for flood/extreme-weather; mitigation plan in train.</w:t>
      </w:r>
    </w:p>
    <w:p>
      <w:pPr>
        <w:pStyle w:val="Heading2"/>
      </w:pPr>
      <w:r>
        <w:rPr>
          <w:color w:val="1F2937"/>
        </w:rPr>
        <w:t>4. Asks of the Board</w:t>
      </w:r>
    </w:p>
    <w:p>
      <w:pPr>
        <w:pStyle w:val="ListBullet"/>
      </w:pPr>
      <w:r>
        <w:t>Approval — Group Operational Resilience Framework (Item 7)</w:t>
      </w:r>
    </w:p>
    <w:p>
      <w:pPr>
        <w:pStyle w:val="ListBullet"/>
      </w:pPr>
      <w:r>
        <w:t>Approval — Cloud Modernisation vendor selection (Item 9)</w:t>
      </w:r>
    </w:p>
    <w:p>
      <w:pPr>
        <w:pStyle w:val="ListBullet"/>
      </w:pPr>
      <w:r>
        <w:t>Approval — FY2026 Half-Year Dividend (Item 12)</w:t>
      </w:r>
    </w:p>
    <w:p>
      <w:pPr>
        <w:pStyle w:val="ListBullet"/>
      </w:pPr>
      <w:r>
        <w:t>Discussion — Project Hawthorn Q3/Q4 decision points</w:t>
      </w:r>
    </w:p>
    <w:p>
      <w:pPr>
        <w:pStyle w:val="Heading2"/>
      </w:pPr>
      <w:r>
        <w:rPr>
          <w:color w:val="1F2937"/>
        </w:rPr>
        <w:t>5. Q1 KPI Scorecard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Comment</w:t>
            </w:r>
          </w:p>
        </w:tc>
      </w:tr>
      <w:tr>
        <w:tc>
          <w:tcPr>
            <w:tcW w:type="dxa" w:w="1728"/>
          </w:tcPr>
          <w:p>
            <w:r>
              <w:t>Revenue (MYR bn)</w:t>
            </w:r>
          </w:p>
        </w:tc>
        <w:tc>
          <w:tcPr>
            <w:tcW w:type="dxa" w:w="1728"/>
          </w:tcPr>
          <w:p>
            <w:r>
              <w:t>11.2</w:t>
            </w:r>
          </w:p>
        </w:tc>
        <w:tc>
          <w:tcPr>
            <w:tcW w:type="dxa" w:w="1728"/>
          </w:tcPr>
          <w:p>
            <w:r>
              <w:t>11.0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+2%</w:t>
            </w:r>
          </w:p>
        </w:tc>
      </w:tr>
      <w:tr>
        <w:tc>
          <w:tcPr>
            <w:tcW w:type="dxa" w:w="1728"/>
          </w:tcPr>
          <w:p>
            <w:r>
              <w:t>EBITDA (MYR bn)</w:t>
            </w:r>
          </w:p>
        </w:tc>
        <w:tc>
          <w:tcPr>
            <w:tcW w:type="dxa" w:w="1728"/>
          </w:tcPr>
          <w:p>
            <w:r>
              <w:t>1.74</w:t>
            </w:r>
          </w:p>
        </w:tc>
        <w:tc>
          <w:tcPr>
            <w:tcW w:type="dxa" w:w="1728"/>
          </w:tcPr>
          <w:p>
            <w:r>
              <w:t>1.81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-4%, margin compression</w:t>
            </w:r>
          </w:p>
        </w:tc>
      </w:tr>
      <w:tr>
        <w:tc>
          <w:tcPr>
            <w:tcW w:type="dxa" w:w="1728"/>
          </w:tcPr>
          <w:p>
            <w:r>
              <w:t>PATAMI (MYR m)</w:t>
            </w:r>
          </w:p>
        </w:tc>
        <w:tc>
          <w:tcPr>
            <w:tcW w:type="dxa" w:w="1728"/>
          </w:tcPr>
          <w:p>
            <w:r>
              <w:t>612</w:t>
            </w:r>
          </w:p>
        </w:tc>
        <w:tc>
          <w:tcPr>
            <w:tcW w:type="dxa" w:w="1728"/>
          </w:tcPr>
          <w:p>
            <w:r>
              <w:t>640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-4%</w:t>
            </w:r>
          </w:p>
        </w:tc>
      </w:tr>
      <w:tr>
        <w:tc>
          <w:tcPr>
            <w:tcW w:type="dxa" w:w="1728"/>
          </w:tcPr>
          <w:p>
            <w:r>
              <w:t>Net debt / EBITDA</w:t>
            </w:r>
          </w:p>
        </w:tc>
        <w:tc>
          <w:tcPr>
            <w:tcW w:type="dxa" w:w="1728"/>
          </w:tcPr>
          <w:p>
            <w:r>
              <w:t>2.1x</w:t>
            </w:r>
          </w:p>
        </w:tc>
        <w:tc>
          <w:tcPr>
            <w:tcW w:type="dxa" w:w="1728"/>
          </w:tcPr>
          <w:p>
            <w:r>
              <w:t>2.0x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Within appetite</w:t>
            </w:r>
          </w:p>
        </w:tc>
      </w:tr>
      <w:tr>
        <w:tc>
          <w:tcPr>
            <w:tcW w:type="dxa" w:w="1728"/>
          </w:tcPr>
          <w:p>
            <w:r>
              <w:t>Voluntary attrition</w:t>
            </w:r>
          </w:p>
        </w:tc>
        <w:tc>
          <w:tcPr>
            <w:tcW w:type="dxa" w:w="1728"/>
          </w:tcPr>
          <w:p>
            <w:r>
              <w:t>14.2%</w:t>
            </w:r>
          </w:p>
        </w:tc>
        <w:tc>
          <w:tcPr>
            <w:tcW w:type="dxa" w:w="1728"/>
          </w:tcPr>
          <w:p>
            <w:r>
              <w:t>12.0%</w:t>
            </w:r>
          </w:p>
        </w:tc>
        <w:tc>
          <w:tcPr>
            <w:tcW w:type="dxa" w:w="1728"/>
          </w:tcPr>
          <w:p>
            <w:r>
              <w:t>Red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LTIFR</w:t>
            </w:r>
          </w:p>
        </w:tc>
        <w:tc>
          <w:tcPr>
            <w:tcW w:type="dxa" w:w="1728"/>
          </w:tcPr>
          <w:p>
            <w:r>
              <w:t>1.18</w:t>
            </w:r>
          </w:p>
        </w:tc>
        <w:tc>
          <w:tcPr>
            <w:tcW w:type="dxa" w:w="1728"/>
          </w:tcPr>
          <w:p>
            <w:r>
              <w:t>1.50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Below target — improving</w:t>
            </w:r>
          </w:p>
        </w:tc>
      </w:tr>
      <w:tr>
        <w:tc>
          <w:tcPr>
            <w:tcW w:type="dxa" w:w="1728"/>
          </w:tcPr>
          <w:p>
            <w:r>
              <w:t>NPS</w:t>
            </w:r>
          </w:p>
        </w:tc>
        <w:tc>
          <w:tcPr>
            <w:tcW w:type="dxa" w:w="1728"/>
          </w:tcPr>
          <w:p>
            <w:r>
              <w:t>+38</w:t>
            </w:r>
          </w:p>
        </w:tc>
        <w:tc>
          <w:tcPr>
            <w:tcW w:type="dxa" w:w="1728"/>
          </w:tcPr>
          <w:p>
            <w:r>
              <w:t>+35</w:t>
            </w:r>
          </w:p>
        </w:tc>
        <w:tc>
          <w:tcPr>
            <w:tcW w:type="dxa" w:w="1728"/>
          </w:tcPr>
          <w:p>
            <w:r>
              <w:t>Green</w:t>
            </w:r>
          </w:p>
        </w:tc>
        <w:tc>
          <w:tcPr>
            <w:tcW w:type="dxa" w:w="1728"/>
          </w:tcPr>
          <w:p>
            <w:r>
              <w:t>Improving</w:t>
            </w:r>
          </w:p>
        </w:tc>
      </w:tr>
      <w:tr>
        <w:tc>
          <w:tcPr>
            <w:tcW w:type="dxa" w:w="1728"/>
          </w:tcPr>
          <w:p>
            <w:r>
              <w:t>Scope 1+2 emissions (tCO2e)</w:t>
            </w:r>
          </w:p>
        </w:tc>
        <w:tc>
          <w:tcPr>
            <w:tcW w:type="dxa" w:w="1728"/>
          </w:tcPr>
          <w:p>
            <w:r>
              <w:t>-4.2% YoY</w:t>
            </w:r>
          </w:p>
        </w:tc>
        <w:tc>
          <w:tcPr>
            <w:tcW w:type="dxa" w:w="1728"/>
          </w:tcPr>
          <w:p>
            <w:r>
              <w:t>-5% YoY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On track</w:t>
            </w:r>
          </w:p>
        </w:tc>
      </w:tr>
      <w:tr>
        <w:tc>
          <w:tcPr>
            <w:tcW w:type="dxa" w:w="1728"/>
          </w:tcPr>
          <w:p>
            <w:r>
              <w:t>Cyber maturity score</w:t>
            </w:r>
          </w:p>
        </w:tc>
        <w:tc>
          <w:tcPr>
            <w:tcW w:type="dxa" w:w="1728"/>
          </w:tcPr>
          <w:p>
            <w:r>
              <w:t>3.4 / 5</w:t>
            </w:r>
          </w:p>
        </w:tc>
        <w:tc>
          <w:tcPr>
            <w:tcW w:type="dxa" w:w="1728"/>
          </w:tcPr>
          <w:p>
            <w:r>
              <w:t>3.5 / 5</w:t>
            </w:r>
          </w:p>
        </w:tc>
        <w:tc>
          <w:tcPr>
            <w:tcW w:type="dxa" w:w="1728"/>
          </w:tcPr>
          <w:p>
            <w:r>
              <w:t>Amber</w:t>
            </w:r>
          </w:p>
        </w:tc>
        <w:tc>
          <w:tcPr>
            <w:tcW w:type="dxa" w:w="1728"/>
          </w:tcPr>
          <w:p>
            <w:r>
              <w:t>Close to target</w:t>
            </w:r>
          </w:p>
        </w:tc>
      </w:tr>
    </w:tbl>
    <w:p>
      <w:r>
        <w:rPr>
          <w:b w:val="0"/>
          <w:i/>
        </w:rPr>
        <w:t>Submitted by: Hadar Caspit, Group CFO (on behalf of Group CEO) · 2026-05-15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