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Minutes of the 28th Annual General Meeting - Zava Group Berhad</w:t>
      </w:r>
    </w:p>
    <w:p>
      <w:r>
        <w:t>Date: 24 April 2026 | Venue: Grand Ballroom, Connexion Conference Centre, KL Sentral | Time commenced: 10:00 hours | Time concluded: 13:42 hours</w:t>
      </w:r>
    </w:p>
    <w:p>
      <w:pPr>
        <w:pStyle w:val="Heading1"/>
      </w:pPr>
      <w:r>
        <w:t>1. Chairman and quorum</w:t>
      </w:r>
    </w:p>
    <w:p>
      <w:r>
        <w:t>The Chairman, Tan Sri Dr Lim Cheng Yong, opened the meeting at 10:00 hours. The Group Company Secretary, Sasha Ouellet, confirmed a quorum of 472 shareholders representing 67.4% of issued share capital was present or represented by proxy, satisfying the requirement under Article 73 of the Constitution.</w:t>
      </w:r>
    </w:p>
    <w:p>
      <w:pPr>
        <w:pStyle w:val="Heading1"/>
      </w:pPr>
      <w:r>
        <w:t>2. Resolutions tabled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Resolution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Voted For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Voted Against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Adoption of Audited Financial Statements FY2025</w:t>
            </w:r>
          </w:p>
        </w:tc>
        <w:tc>
          <w:tcPr>
            <w:tcW w:type="dxa" w:w="1728"/>
          </w:tcPr>
          <w:p>
            <w:r>
              <w:t>99.84%</w:t>
            </w:r>
          </w:p>
        </w:tc>
        <w:tc>
          <w:tcPr>
            <w:tcW w:type="dxa" w:w="1728"/>
          </w:tcPr>
          <w:p>
            <w:r>
              <w:t>0.16%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Declaration of Final Single-Tier Dividend of 24.0 sen</w:t>
            </w:r>
          </w:p>
        </w:tc>
        <w:tc>
          <w:tcPr>
            <w:tcW w:type="dxa" w:w="1728"/>
          </w:tcPr>
          <w:p>
            <w:r>
              <w:t>99.78%</w:t>
            </w:r>
          </w:p>
        </w:tc>
        <w:tc>
          <w:tcPr>
            <w:tcW w:type="dxa" w:w="1728"/>
          </w:tcPr>
          <w:p>
            <w:r>
              <w:t>0.22%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Re-election of Datuk Wong Lai Ling as Director</w:t>
            </w:r>
          </w:p>
        </w:tc>
        <w:tc>
          <w:tcPr>
            <w:tcW w:type="dxa" w:w="1728"/>
          </w:tcPr>
          <w:p>
            <w:r>
              <w:t>98.42%</w:t>
            </w:r>
          </w:p>
        </w:tc>
        <w:tc>
          <w:tcPr>
            <w:tcW w:type="dxa" w:w="1728"/>
          </w:tcPr>
          <w:p>
            <w:r>
              <w:t>1.58%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Re-election of Mr Vijay Subramaniam as Director</w:t>
            </w:r>
          </w:p>
        </w:tc>
        <w:tc>
          <w:tcPr>
            <w:tcW w:type="dxa" w:w="1728"/>
          </w:tcPr>
          <w:p>
            <w:r>
              <w:t>97.84%</w:t>
            </w:r>
          </w:p>
        </w:tc>
        <w:tc>
          <w:tcPr>
            <w:tcW w:type="dxa" w:w="1728"/>
          </w:tcPr>
          <w:p>
            <w:r>
              <w:t>2.16%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Approval of Directors' Fees of MYR 4.8M</w:t>
            </w:r>
          </w:p>
        </w:tc>
        <w:tc>
          <w:tcPr>
            <w:tcW w:type="dxa" w:w="1728"/>
          </w:tcPr>
          <w:p>
            <w:r>
              <w:t>94.62%</w:t>
            </w:r>
          </w:p>
        </w:tc>
        <w:tc>
          <w:tcPr>
            <w:tcW w:type="dxa" w:w="1728"/>
          </w:tcPr>
          <w:p>
            <w:r>
              <w:t>5.38%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Re-appointment of KPMG as Auditors</w:t>
            </w:r>
          </w:p>
        </w:tc>
        <w:tc>
          <w:tcPr>
            <w:tcW w:type="dxa" w:w="1728"/>
          </w:tcPr>
          <w:p>
            <w:r>
              <w:t>99.91%</w:t>
            </w:r>
          </w:p>
        </w:tc>
        <w:tc>
          <w:tcPr>
            <w:tcW w:type="dxa" w:w="1728"/>
          </w:tcPr>
          <w:p>
            <w:r>
              <w:t>0.09%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Authority to issue shares - Section 75</w:t>
            </w:r>
          </w:p>
        </w:tc>
        <w:tc>
          <w:tcPr>
            <w:tcW w:type="dxa" w:w="1728"/>
          </w:tcPr>
          <w:p>
            <w:r>
              <w:t>88.42%</w:t>
            </w:r>
          </w:p>
        </w:tc>
        <w:tc>
          <w:tcPr>
            <w:tcW w:type="dxa" w:w="1728"/>
          </w:tcPr>
          <w:p>
            <w:r>
              <w:t>11.58%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Proposed share buyback</w:t>
            </w:r>
          </w:p>
        </w:tc>
        <w:tc>
          <w:tcPr>
            <w:tcW w:type="dxa" w:w="1728"/>
          </w:tcPr>
          <w:p>
            <w:r>
              <w:t>92.18%</w:t>
            </w:r>
          </w:p>
        </w:tc>
        <w:tc>
          <w:tcPr>
            <w:tcW w:type="dxa" w:w="1728"/>
          </w:tcPr>
          <w:p>
            <w:r>
              <w:t>7.82%</w:t>
            </w:r>
          </w:p>
        </w:tc>
        <w:tc>
          <w:tcPr>
            <w:tcW w:type="dxa" w:w="1728"/>
          </w:tcPr>
          <w:p>
            <w:r>
              <w:t>Carried</w:t>
            </w:r>
          </w:p>
        </w:tc>
      </w:tr>
    </w:tbl>
    <w:p>
      <w:pPr>
        <w:pStyle w:val="Heading1"/>
      </w:pPr>
      <w:r>
        <w:t>3. Q&amp;A highlights from the floor</w:t>
      </w:r>
    </w:p>
    <w:p>
      <w:pPr>
        <w:pStyle w:val="ListBullet"/>
      </w:pPr>
      <w:r>
        <w:t>MSWG raised dividend payout ratio - Chairman confirmed 50-60% policy maintained</w:t>
      </w:r>
    </w:p>
    <w:p>
      <w:pPr>
        <w:pStyle w:val="ListBullet"/>
      </w:pPr>
      <w:r>
        <w:t>Minority Shareholder questioned Plantation EBITDA fall - CFO Hadar Caspit provided written follow-up</w:t>
      </w:r>
    </w:p>
    <w:p>
      <w:pPr>
        <w:pStyle w:val="ListBullet"/>
      </w:pPr>
      <w:r>
        <w:t>Sustainability rating queries addressed by Head of IR Daichi Maruyama</w:t>
      </w:r>
    </w:p>
    <w:p>
      <w:pPr>
        <w:pStyle w:val="Heading1"/>
      </w:pPr>
      <w:r>
        <w:t>4. Closing remarks and adjournment</w:t>
      </w:r>
    </w:p>
    <w:p>
      <w:r>
        <w:t>The Chairman thanked shareholders for their continued support and confirmed the next AGM is targeted for end-April 2027. The meeting was adjourned at 13:42 hours.</w:t>
      </w:r>
    </w:p>
    <w:p>
      <w:r>
        <w:t>Certified true minutes - Sasha Ouellet, Group Company Secretary | Approved by the Board on 12 May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