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Campaign Brief — "Future Forward" Q1 FY2026</w:t>
      </w:r>
    </w:p>
    <w:p>
      <w:r>
        <w:rPr>
          <w:i/>
          <w:color w:val="6B7280"/>
        </w:rPr>
        <w:t>Zava Group Marketing · Multi-channel brand + demand · Approved 2026-01-15</w:t>
      </w:r>
    </w:p>
    <w:p>
      <w:pPr>
        <w:pStyle w:val="Heading2"/>
      </w:pPr>
      <w:r>
        <w:rPr>
          <w:color w:val="1F2937"/>
        </w:rPr>
        <w:t>1. Objective</w:t>
      </w:r>
    </w:p>
    <w:p>
      <w:r>
        <w:rPr>
          <w:b w:val="0"/>
          <w:i w:val="0"/>
        </w:rPr>
        <w:t>Drive brand consideration for Zava's digital banking proposition across 4 ASEAN markets (Malaysia, Indonesia, Singapore, Philippines) and generate 18,000 qualified leads for the new product line over the 12-week campaign window (2026-02-01 to 2026-04-30).</w:t>
      </w:r>
    </w:p>
    <w:p>
      <w:pPr>
        <w:pStyle w:val="Heading2"/>
      </w:pPr>
      <w:r>
        <w:rPr>
          <w:color w:val="1F2937"/>
        </w:rPr>
        <w:t>2. Target Audience</w:t>
      </w:r>
    </w:p>
    <w:p>
      <w:pPr>
        <w:pStyle w:val="ListBullet"/>
      </w:pPr>
      <w:r>
        <w:t>Primary: SME owners, 28-48 years, mobile-first, mid-tier banking customers in target markets</w:t>
      </w:r>
    </w:p>
    <w:p>
      <w:pPr>
        <w:pStyle w:val="ListBullet"/>
      </w:pPr>
      <w:r>
        <w:t>Secondary: aspirational young professionals (25-35) entering business ownership</w:t>
      </w:r>
    </w:p>
    <w:p>
      <w:pPr>
        <w:pStyle w:val="ListBullet"/>
      </w:pPr>
      <w:r>
        <w:t>Audience size: estimated 4.2M reachable</w:t>
      </w:r>
    </w:p>
    <w:p>
      <w:pPr>
        <w:pStyle w:val="Heading2"/>
      </w:pPr>
      <w:r>
        <w:rPr>
          <w:color w:val="1F2937"/>
        </w:rPr>
        <w:t>3. Channel Mix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Budget MYR 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Paid social (Meta + TikTok)</w:t>
            </w:r>
          </w:p>
        </w:tc>
        <w:tc>
          <w:tcPr>
            <w:tcW w:type="dxa" w:w="2880"/>
          </w:tcPr>
          <w:p>
            <w:r>
              <w:t>420</w:t>
            </w:r>
          </w:p>
        </w:tc>
        <w:tc>
          <w:tcPr>
            <w:tcW w:type="dxa" w:w="2880"/>
          </w:tcPr>
          <w:p>
            <w:r>
              <w:t>Reach + targeted retargeting</w:t>
            </w:r>
          </w:p>
        </w:tc>
      </w:tr>
      <w:tr>
        <w:tc>
          <w:tcPr>
            <w:tcW w:type="dxa" w:w="2880"/>
          </w:tcPr>
          <w:p>
            <w:r>
              <w:t>Paid search (Google)</w:t>
            </w:r>
          </w:p>
        </w:tc>
        <w:tc>
          <w:tcPr>
            <w:tcW w:type="dxa" w:w="2880"/>
          </w:tcPr>
          <w:p>
            <w:r>
              <w:t>210</w:t>
            </w:r>
          </w:p>
        </w:tc>
        <w:tc>
          <w:tcPr>
            <w:tcW w:type="dxa" w:w="2880"/>
          </w:tcPr>
          <w:p>
            <w:r>
              <w:t>Bottom-funnel intent</w:t>
            </w:r>
          </w:p>
        </w:tc>
      </w:tr>
      <w:tr>
        <w:tc>
          <w:tcPr>
            <w:tcW w:type="dxa" w:w="2880"/>
          </w:tcPr>
          <w:p>
            <w:r>
              <w:t>Programmatic display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Top-funnel awareness</w:t>
            </w:r>
          </w:p>
        </w:tc>
      </w:tr>
      <w:tr>
        <w:tc>
          <w:tcPr>
            <w:tcW w:type="dxa" w:w="2880"/>
          </w:tcPr>
          <w:p>
            <w:r>
              <w:t>Influencer partnerships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3 hero + 12 mid-tier across markets</w:t>
            </w:r>
          </w:p>
        </w:tc>
      </w:tr>
      <w:tr>
        <w:tc>
          <w:tcPr>
            <w:tcW w:type="dxa" w:w="2880"/>
          </w:tcPr>
          <w:p>
            <w:r>
              <w:t>Out-of-home (KL + Jakarta)</w:t>
            </w:r>
          </w:p>
        </w:tc>
        <w:tc>
          <w:tcPr>
            <w:tcW w:type="dxa" w:w="2880"/>
          </w:tcPr>
          <w:p>
            <w:r>
              <w:t>140</w:t>
            </w:r>
          </w:p>
        </w:tc>
        <w:tc>
          <w:tcPr>
            <w:tcW w:type="dxa" w:w="2880"/>
          </w:tcPr>
          <w:p>
            <w:r>
              <w:t>Brand-build in core cities</w:t>
            </w:r>
          </w:p>
        </w:tc>
      </w:tr>
      <w:tr>
        <w:tc>
          <w:tcPr>
            <w:tcW w:type="dxa" w:w="2880"/>
          </w:tcPr>
          <w:p>
            <w:r>
              <w:t>Owned: organic social + email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Existing audience nurture</w:t>
            </w:r>
          </w:p>
        </w:tc>
      </w:tr>
      <w:tr>
        <w:tc>
          <w:tcPr>
            <w:tcW w:type="dxa" w:w="2880"/>
          </w:tcPr>
          <w:p>
            <w:r>
              <w:t>Creative production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Hero film + 15 cutdowns + statics</w:t>
            </w:r>
          </w:p>
        </w:tc>
      </w:tr>
      <w:tr>
        <w:tc>
          <w:tcPr>
            <w:tcW w:type="dxa" w:w="2880"/>
          </w:tcPr>
          <w:p>
            <w:r>
              <w:t>Measurement / brand lift studies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Pre/post Nielsen brand-lift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1,260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2"/>
      </w:pPr>
      <w:r>
        <w:rPr>
          <w:color w:val="1F2937"/>
        </w:rPr>
        <w:t>4. KPI Targets</w:t>
      </w:r>
    </w:p>
    <w:p>
      <w:pPr>
        <w:pStyle w:val="ListBullet"/>
      </w:pPr>
      <w:r>
        <w:t>Reach: 22 million (across all paid)</w:t>
      </w:r>
    </w:p>
    <w:p>
      <w:pPr>
        <w:pStyle w:val="ListBullet"/>
      </w:pPr>
      <w:r>
        <w:t>CTR: 1.4% paid average</w:t>
      </w:r>
    </w:p>
    <w:p>
      <w:pPr>
        <w:pStyle w:val="ListBullet"/>
      </w:pPr>
      <w:r>
        <w:t>Lead volume: 18,000 qualified</w:t>
      </w:r>
    </w:p>
    <w:p>
      <w:pPr>
        <w:pStyle w:val="ListBullet"/>
      </w:pPr>
      <w:r>
        <w:t>Cost per qualified lead: &lt;MYR 75</w:t>
      </w:r>
    </w:p>
    <w:p>
      <w:pPr>
        <w:pStyle w:val="ListBullet"/>
      </w:pPr>
      <w:r>
        <w:t>Brand consideration uplift: +6pp post-campaign</w:t>
      </w:r>
    </w:p>
    <w:p>
      <w:pPr>
        <w:pStyle w:val="ListBullet"/>
      </w:pPr>
      <w:r>
        <w:t>Sales pipeline influence: MYR 12M generated</w:t>
      </w:r>
    </w:p>
    <w:p>
      <w:pPr>
        <w:pStyle w:val="Heading2"/>
      </w:pPr>
      <w:r>
        <w:rPr>
          <w:color w:val="1F2937"/>
        </w:rPr>
        <w:t>5. Creative Strategy</w:t>
      </w:r>
    </w:p>
    <w:p>
      <w:r>
        <w:rPr>
          <w:b w:val="0"/>
          <w:i w:val="0"/>
        </w:rPr>
        <w:t>Hero idea: "Your business, future-forward." Show real ASEAN SME entrepreneurs running their business via mobile with our app as the connective thread. Local-language adaptations per market (Bahasa Malaysia, Bahasa Indonesia, Tagalog, English Singapore).</w:t>
      </w:r>
    </w:p>
    <w:p>
      <w:pPr>
        <w:pStyle w:val="Heading2"/>
      </w:pPr>
      <w:r>
        <w:rPr>
          <w:color w:val="1F2937"/>
        </w:rPr>
        <w:t>6. Measurement Plan</w:t>
      </w:r>
    </w:p>
    <w:p>
      <w:pPr>
        <w:pStyle w:val="ListBullet"/>
      </w:pPr>
      <w:r>
        <w:t>Weekly performance dashboard (in-house)</w:t>
      </w:r>
    </w:p>
    <w:p>
      <w:pPr>
        <w:pStyle w:val="ListBullet"/>
      </w:pPr>
      <w:r>
        <w:t>Mid-campaign optimisation review at week 6</w:t>
      </w:r>
    </w:p>
    <w:p>
      <w:pPr>
        <w:pStyle w:val="ListBullet"/>
      </w:pPr>
      <w:r>
        <w:t>Brand lift study at end of campaign (Nielsen)</w:t>
      </w:r>
    </w:p>
    <w:p>
      <w:pPr>
        <w:pStyle w:val="ListBullet"/>
      </w:pPr>
      <w:r>
        <w:t>Sales pipeline attribution via CRM (qualified leads + influence on existing pipeline)</w:t>
      </w:r>
    </w:p>
    <w:p>
      <w:pPr>
        <w:pStyle w:val="ListBullet"/>
      </w:pPr>
      <w:r>
        <w:t>Customer survey to lead-form respondents (sentiment, intent)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