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4C81"/>
        </w:rPr>
        <w:t>Zava Conglomerate — Internal Operational Resilience Policy</w:t>
      </w:r>
    </w:p>
    <w:p>
      <w:r>
        <w:rPr>
          <w:i/>
          <w:color w:val="6B7280"/>
        </w:rPr>
        <w:t>Document ID: ZAVA-POL-RES-01 · Version 2.1 · Effective 2025-04-01 · Owner: Group Risk Officer</w:t>
      </w:r>
    </w:p>
    <w:p>
      <w:pPr>
        <w:pStyle w:val="Heading2"/>
      </w:pPr>
      <w:r>
        <w:rPr>
          <w:color w:val="1F2937"/>
        </w:rPr>
        <w:t>1. Purpose &amp; Scope</w:t>
      </w:r>
    </w:p>
    <w:p>
      <w:r>
        <w:rPr>
          <w:b w:val="0"/>
          <w:i w:val="0"/>
        </w:rPr>
        <w:t>This policy sets out Zava Conglomerate's operational resilience framework. It applies to all subsidiaries and joint ventures controlled by Zava Conglomerate.</w:t>
      </w:r>
    </w:p>
    <w:p>
      <w:pPr>
        <w:pStyle w:val="Heading2"/>
      </w:pPr>
      <w:r>
        <w:rPr>
          <w:color w:val="1F2937"/>
        </w:rPr>
        <w:t>2. Governance</w:t>
      </w:r>
    </w:p>
    <w:p>
      <w:r>
        <w:rPr>
          <w:b w:val="0"/>
          <w:i w:val="0"/>
        </w:rPr>
        <w:t>2.1 — The Group Risk Committee reviews the operational resilience framework annually.</w:t>
      </w:r>
    </w:p>
    <w:p>
      <w:r>
        <w:rPr>
          <w:b w:val="0"/>
          <w:i w:val="0"/>
        </w:rPr>
        <w:t>2.2 — The Board approves the Important Business Services (IBS) list and Impact Tolerances every 24 months.</w:t>
      </w:r>
    </w:p>
    <w:p>
      <w:r>
        <w:rPr>
          <w:b w:val="0"/>
          <w:i w:val="0"/>
        </w:rPr>
        <w:t>(Note: this policy currently states 24-month Board review cycle. Regulator Circular 2026 requires annual Board attestation. POLICY GAP — to be remediated.)</w:t>
      </w:r>
    </w:p>
    <w:p>
      <w:pPr>
        <w:pStyle w:val="Heading2"/>
      </w:pPr>
      <w:r>
        <w:rPr>
          <w:color w:val="1F2937"/>
        </w:rPr>
        <w:t>3. Important Business Services</w:t>
      </w:r>
    </w:p>
    <w:p>
      <w:r>
        <w:rPr>
          <w:b w:val="0"/>
          <w:i w:val="0"/>
        </w:rPr>
        <w:t>Current IBS catalogue (12 services):</w:t>
      </w:r>
    </w:p>
    <w:p>
      <w:pPr>
        <w:pStyle w:val="ListBullet"/>
      </w:pPr>
      <w:r>
        <w:t>Customer-facing digital banking</w:t>
      </w:r>
    </w:p>
    <w:p>
      <w:pPr>
        <w:pStyle w:val="ListBullet"/>
      </w:pPr>
      <w:r>
        <w:t>Payment processing (domestic + cross-border)</w:t>
      </w:r>
    </w:p>
    <w:p>
      <w:pPr>
        <w:pStyle w:val="ListBullet"/>
      </w:pPr>
      <w:r>
        <w:t>Card authorisation</w:t>
      </w:r>
    </w:p>
    <w:p>
      <w:pPr>
        <w:pStyle w:val="ListBullet"/>
      </w:pPr>
      <w:r>
        <w:t>Retail branch banking</w:t>
      </w:r>
    </w:p>
    <w:p>
      <w:pPr>
        <w:pStyle w:val="ListBullet"/>
      </w:pPr>
      <w:r>
        <w:t>Treasury operations</w:t>
      </w:r>
    </w:p>
    <w:p>
      <w:pPr>
        <w:pStyle w:val="ListBullet"/>
      </w:pPr>
      <w:r>
        <w:t>Investor portal and disclosures</w:t>
      </w:r>
    </w:p>
    <w:p>
      <w:pPr>
        <w:pStyle w:val="ListBullet"/>
      </w:pPr>
      <w:r>
        <w:t>Insurance claims processing</w:t>
      </w:r>
    </w:p>
    <w:p>
      <w:pPr>
        <w:pStyle w:val="ListBullet"/>
      </w:pPr>
      <w:r>
        <w:t>Healthcare patient records system</w:t>
      </w:r>
    </w:p>
    <w:p>
      <w:pPr>
        <w:pStyle w:val="ListBullet"/>
      </w:pPr>
      <w:r>
        <w:t>Plantation logistics dispatch</w:t>
      </w:r>
    </w:p>
    <w:p>
      <w:pPr>
        <w:pStyle w:val="ListBullet"/>
      </w:pPr>
      <w:r>
        <w:t>Group payroll</w:t>
      </w:r>
    </w:p>
    <w:p>
      <w:pPr>
        <w:pStyle w:val="ListBullet"/>
      </w:pPr>
      <w:r>
        <w:t>Group financial close</w:t>
      </w:r>
    </w:p>
    <w:p>
      <w:pPr>
        <w:pStyle w:val="ListBullet"/>
      </w:pPr>
      <w:r>
        <w:t>Cybersecurity operations centre</w:t>
      </w:r>
    </w:p>
    <w:p>
      <w:pPr>
        <w:pStyle w:val="Heading2"/>
      </w:pPr>
      <w:r>
        <w:rPr>
          <w:color w:val="1F2937"/>
        </w:rPr>
        <w:t>4. Impact Tolerances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IBS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 Disruption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 Data Loss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Last Test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t>Digital banking</w:t>
            </w:r>
          </w:p>
        </w:tc>
        <w:tc>
          <w:tcPr>
            <w:tcW w:type="dxa" w:w="1728"/>
          </w:tcPr>
          <w:p>
            <w:r>
              <w:t>2 hrs</w:t>
            </w:r>
          </w:p>
        </w:tc>
        <w:tc>
          <w:tcPr>
            <w:tcW w:type="dxa" w:w="1728"/>
          </w:tcPr>
          <w:p>
            <w:r>
              <w:t>0 transactions</w:t>
            </w:r>
          </w:p>
        </w:tc>
        <w:tc>
          <w:tcPr>
            <w:tcW w:type="dxa" w:w="1728"/>
          </w:tcPr>
          <w:p>
            <w:r>
              <w:t>2025-11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Payment processing</w:t>
            </w:r>
          </w:p>
        </w:tc>
        <w:tc>
          <w:tcPr>
            <w:tcW w:type="dxa" w:w="1728"/>
          </w:tcPr>
          <w:p>
            <w:r>
              <w:t>1 hr</w:t>
            </w:r>
          </w:p>
        </w:tc>
        <w:tc>
          <w:tcPr>
            <w:tcW w:type="dxa" w:w="1728"/>
          </w:tcPr>
          <w:p>
            <w:r>
              <w:t>0 transactions</w:t>
            </w:r>
          </w:p>
        </w:tc>
        <w:tc>
          <w:tcPr>
            <w:tcW w:type="dxa" w:w="1728"/>
          </w:tcPr>
          <w:p>
            <w:r>
              <w:t>2025-10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Card authorisation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0 transactions</w:t>
            </w:r>
          </w:p>
        </w:tc>
        <w:tc>
          <w:tcPr>
            <w:tcW w:type="dxa" w:w="1728"/>
          </w:tcPr>
          <w:p>
            <w:r>
              <w:t>2025-11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Branch banking</w:t>
            </w:r>
          </w:p>
        </w:tc>
        <w:tc>
          <w:tcPr>
            <w:tcW w:type="dxa" w:w="1728"/>
          </w:tcPr>
          <w:p>
            <w:r>
              <w:t>4 hrs</w:t>
            </w:r>
          </w:p>
        </w:tc>
        <w:tc>
          <w:tcPr>
            <w:tcW w:type="dxa" w:w="1728"/>
          </w:tcPr>
          <w:p>
            <w:r>
              <w:t>15 min</w:t>
            </w:r>
          </w:p>
        </w:tc>
        <w:tc>
          <w:tcPr>
            <w:tcW w:type="dxa" w:w="1728"/>
          </w:tcPr>
          <w:p>
            <w:r>
              <w:t>2025-09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Treasury</w:t>
            </w:r>
          </w:p>
        </w:tc>
        <w:tc>
          <w:tcPr>
            <w:tcW w:type="dxa" w:w="1728"/>
          </w:tcPr>
          <w:p>
            <w:r>
              <w:t>2 hrs</w:t>
            </w:r>
          </w:p>
        </w:tc>
        <w:tc>
          <w:tcPr>
            <w:tcW w:type="dxa" w:w="1728"/>
          </w:tcPr>
          <w:p>
            <w:r>
              <w:t>0 transactions</w:t>
            </w:r>
          </w:p>
        </w:tc>
        <w:tc>
          <w:tcPr>
            <w:tcW w:type="dxa" w:w="1728"/>
          </w:tcPr>
          <w:p>
            <w:r>
              <w:t>2025-08</w:t>
            </w:r>
          </w:p>
        </w:tc>
        <w:tc>
          <w:tcPr>
            <w:tcW w:type="dxa" w:w="1728"/>
          </w:tcPr>
          <w:p>
            <w:r>
              <w:t>Partial</w:t>
            </w:r>
          </w:p>
        </w:tc>
      </w:tr>
      <w:tr>
        <w:tc>
          <w:tcPr>
            <w:tcW w:type="dxa" w:w="1728"/>
          </w:tcPr>
          <w:p>
            <w:r>
              <w:t>Insurance claims</w:t>
            </w:r>
          </w:p>
        </w:tc>
        <w:tc>
          <w:tcPr>
            <w:tcW w:type="dxa" w:w="1728"/>
          </w:tcPr>
          <w:p>
            <w:r>
              <w:t>24 hrs</w:t>
            </w:r>
          </w:p>
        </w:tc>
        <w:tc>
          <w:tcPr>
            <w:tcW w:type="dxa" w:w="1728"/>
          </w:tcPr>
          <w:p>
            <w:r>
              <w:t>24 hrs</w:t>
            </w:r>
          </w:p>
        </w:tc>
        <w:tc>
          <w:tcPr>
            <w:tcW w:type="dxa" w:w="1728"/>
          </w:tcPr>
          <w:p>
            <w:r>
              <w:t>Not tested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Healthcare records</w:t>
            </w:r>
          </w:p>
        </w:tc>
        <w:tc>
          <w:tcPr>
            <w:tcW w:type="dxa" w:w="1728"/>
          </w:tcPr>
          <w:p>
            <w:r>
              <w:t>1 hr</w:t>
            </w:r>
          </w:p>
        </w:tc>
        <w:tc>
          <w:tcPr>
            <w:tcW w:type="dxa" w:w="1728"/>
          </w:tcPr>
          <w:p>
            <w:r>
              <w:t>15 min</w:t>
            </w:r>
          </w:p>
        </w:tc>
        <w:tc>
          <w:tcPr>
            <w:tcW w:type="dxa" w:w="1728"/>
          </w:tcPr>
          <w:p>
            <w:r>
              <w:t>Not tested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2"/>
      </w:pPr>
      <w:r>
        <w:rPr>
          <w:color w:val="1F2937"/>
        </w:rPr>
        <w:t>5. Third-Party Risk</w:t>
      </w:r>
    </w:p>
    <w:p>
      <w:r>
        <w:rPr>
          <w:b w:val="0"/>
          <w:i w:val="0"/>
        </w:rPr>
        <w:t>All material outsourcing must include audit rights, data residency, and exit clauses. Concentration assessment performed annually.</w:t>
      </w:r>
    </w:p>
    <w:p>
      <w:r>
        <w:rPr>
          <w:b w:val="0"/>
          <w:i w:val="0"/>
        </w:rPr>
        <w:t>(Note: 2 of our 7 material technology providers exceed 40% concentration per regulator threshold. Remediation in progress; see Audit Findings register.)</w:t>
      </w:r>
    </w:p>
    <w:p>
      <w:pPr>
        <w:pStyle w:val="Heading2"/>
      </w:pPr>
      <w:r>
        <w:rPr>
          <w:color w:val="1F2937"/>
        </w:rPr>
        <w:t>6. Incident Reporting</w:t>
      </w:r>
    </w:p>
    <w:p>
      <w:r>
        <w:rPr>
          <w:b w:val="0"/>
          <w:i w:val="0"/>
        </w:rPr>
        <w:t>P1 operational incidents must be reported to Group Risk within 1 hour. Regulator notification handled by Compliance team — current internal SLA is 8 hours, which exceeds the regulator's 4-hour requirement under Circular 2026. POLICY GAP — to be remediated.</w:t>
      </w:r>
    </w:p>
    <w:p>
      <w:pPr>
        <w:pStyle w:val="Heading2"/>
      </w:pPr>
      <w:r>
        <w:rPr>
          <w:color w:val="1F2937"/>
        </w:rPr>
        <w:t>7. Review</w:t>
      </w:r>
    </w:p>
    <w:p>
      <w:r>
        <w:rPr>
          <w:b w:val="0"/>
          <w:i w:val="0"/>
        </w:rPr>
        <w:t>This policy is reviewed every 24 months or sooner if material regulatory change occurs. Next scheduled review: 2027-04-01.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