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Group Brand Strategy - Zava Group FY2026-2028</w:t>
      </w:r>
    </w:p>
    <w:p>
      <w:r>
        <w:t>Strategy owner: Lim Mei Ling (Group Brand Director) | Sponsor: Sasha Ouellet (Group CoS) | Horizon: 3-year (FY2026-FY2028) | Status: Endorsed by ExCo 28-Apr-2026</w:t>
      </w:r>
    </w:p>
    <w:p>
      <w:pPr>
        <w:pStyle w:val="Heading1"/>
      </w:pPr>
      <w:r>
        <w:t>1. Brand context</w:t>
      </w:r>
    </w:p>
    <w:p>
      <w:r>
        <w:t>Zava Group operates 9 divisions under 14 customer-facing brands. Brand fragmentation has historically been a strength (channel specialisation) but is now creating friction in (a) digital go-to-market, (b) talent attraction, (c) Group cross-sell. Brand Stack 2030 is the first systemic re-architecture in 12 years.</w:t>
      </w:r>
    </w:p>
    <w:p>
      <w:pPr>
        <w:pStyle w:val="Heading1"/>
      </w:pPr>
      <w:r>
        <w:t>2. Brand architecture - target end-state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Relationship to Zava</w:t>
            </w:r>
          </w:p>
        </w:tc>
      </w:tr>
      <w:tr>
        <w:tc>
          <w:tcPr>
            <w:tcW w:type="dxa" w:w="2160"/>
          </w:tcPr>
          <w:p>
            <w:r>
              <w:t>Master</w:t>
            </w:r>
          </w:p>
        </w:tc>
        <w:tc>
          <w:tcPr>
            <w:tcW w:type="dxa" w:w="2160"/>
          </w:tcPr>
          <w:p>
            <w:r>
              <w:t>Zava</w:t>
            </w:r>
          </w:p>
        </w:tc>
        <w:tc>
          <w:tcPr>
            <w:tcW w:type="dxa" w:w="2160"/>
          </w:tcPr>
          <w:p>
            <w:r>
              <w:t>Endorser brand for the Group, employer brand, corporate</w:t>
            </w:r>
          </w:p>
        </w:tc>
        <w:tc>
          <w:tcPr>
            <w:tcW w:type="dxa" w:w="2160"/>
          </w:tcPr>
          <w:p>
            <w:r>
              <w:t>Master brand</w:t>
            </w:r>
          </w:p>
        </w:tc>
      </w:tr>
      <w:tr>
        <w:tc>
          <w:tcPr>
            <w:tcW w:type="dxa" w:w="2160"/>
          </w:tcPr>
          <w:p>
            <w:r>
              <w:t>Strategic</w:t>
            </w:r>
          </w:p>
        </w:tc>
        <w:tc>
          <w:tcPr>
            <w:tcW w:type="dxa" w:w="2160"/>
          </w:tcPr>
          <w:p>
            <w:r>
              <w:t>Zava Bank</w:t>
            </w:r>
          </w:p>
        </w:tc>
        <w:tc>
          <w:tcPr>
            <w:tcW w:type="dxa" w:w="2160"/>
          </w:tcPr>
          <w:p>
            <w:r>
              <w:t>Banking division consumer brand</w:t>
            </w:r>
          </w:p>
        </w:tc>
        <w:tc>
          <w:tcPr>
            <w:tcW w:type="dxa" w:w="2160"/>
          </w:tcPr>
          <w:p>
            <w:r>
              <w:t>Endorsed - "Zava Bank, a Zava Group company"</w:t>
            </w:r>
          </w:p>
        </w:tc>
      </w:tr>
      <w:tr>
        <w:tc>
          <w:tcPr>
            <w:tcW w:type="dxa" w:w="2160"/>
          </w:tcPr>
          <w:p>
            <w:r>
              <w:t>Strategic</w:t>
            </w:r>
          </w:p>
        </w:tc>
        <w:tc>
          <w:tcPr>
            <w:tcW w:type="dxa" w:w="2160"/>
          </w:tcPr>
          <w:p>
            <w:r>
              <w:t>Zava Insure</w:t>
            </w:r>
          </w:p>
        </w:tc>
        <w:tc>
          <w:tcPr>
            <w:tcW w:type="dxa" w:w="2160"/>
          </w:tcPr>
          <w:p>
            <w:r>
              <w:t>Insurance and Takaful brand</w:t>
            </w:r>
          </w:p>
        </w:tc>
        <w:tc>
          <w:tcPr>
            <w:tcW w:type="dxa" w:w="2160"/>
          </w:tcPr>
          <w:p>
            <w:r>
              <w:t>Endorsed</w:t>
            </w:r>
          </w:p>
        </w:tc>
      </w:tr>
      <w:tr>
        <w:tc>
          <w:tcPr>
            <w:tcW w:type="dxa" w:w="2160"/>
          </w:tcPr>
          <w:p>
            <w:r>
              <w:t>Strategic</w:t>
            </w:r>
          </w:p>
        </w:tc>
        <w:tc>
          <w:tcPr>
            <w:tcW w:type="dxa" w:w="2160"/>
          </w:tcPr>
          <w:p>
            <w:r>
              <w:t>Zava Properties</w:t>
            </w:r>
          </w:p>
        </w:tc>
        <w:tc>
          <w:tcPr>
            <w:tcW w:type="dxa" w:w="2160"/>
          </w:tcPr>
          <w:p>
            <w:r>
              <w:t>Property dev + REIT</w:t>
            </w:r>
          </w:p>
        </w:tc>
        <w:tc>
          <w:tcPr>
            <w:tcW w:type="dxa" w:w="2160"/>
          </w:tcPr>
          <w:p>
            <w:r>
              <w:t>Endorsed</w:t>
            </w:r>
          </w:p>
        </w:tc>
      </w:tr>
      <w:tr>
        <w:tc>
          <w:tcPr>
            <w:tcW w:type="dxa" w:w="2160"/>
          </w:tcPr>
          <w:p>
            <w:r>
              <w:t>Strategic</w:t>
            </w:r>
          </w:p>
        </w:tc>
        <w:tc>
          <w:tcPr>
            <w:tcW w:type="dxa" w:w="2160"/>
          </w:tcPr>
          <w:p>
            <w:r>
              <w:t>Zava Energy</w:t>
            </w:r>
          </w:p>
        </w:tc>
        <w:tc>
          <w:tcPr>
            <w:tcW w:type="dxa" w:w="2160"/>
          </w:tcPr>
          <w:p>
            <w:r>
              <w:t>Power, renewables, plantation under one umbrella</w:t>
            </w:r>
          </w:p>
        </w:tc>
        <w:tc>
          <w:tcPr>
            <w:tcW w:type="dxa" w:w="2160"/>
          </w:tcPr>
          <w:p>
            <w:r>
              <w:t>Endorsed (new in FY2026)</w:t>
            </w:r>
          </w:p>
        </w:tc>
      </w:tr>
      <w:tr>
        <w:tc>
          <w:tcPr>
            <w:tcW w:type="dxa" w:w="2160"/>
          </w:tcPr>
          <w:p>
            <w:r>
              <w:t>Strategic</w:t>
            </w:r>
          </w:p>
        </w:tc>
        <w:tc>
          <w:tcPr>
            <w:tcW w:type="dxa" w:w="2160"/>
          </w:tcPr>
          <w:p>
            <w:r>
              <w:t>Zava Mart</w:t>
            </w:r>
          </w:p>
        </w:tc>
        <w:tc>
          <w:tcPr>
            <w:tcW w:type="dxa" w:w="2160"/>
          </w:tcPr>
          <w:p>
            <w:r>
              <w:t>Retail grocery + hypermart</w:t>
            </w:r>
          </w:p>
        </w:tc>
        <w:tc>
          <w:tcPr>
            <w:tcW w:type="dxa" w:w="2160"/>
          </w:tcPr>
          <w:p>
            <w:r>
              <w:t>Endorsed</w:t>
            </w:r>
          </w:p>
        </w:tc>
      </w:tr>
      <w:tr>
        <w:tc>
          <w:tcPr>
            <w:tcW w:type="dxa" w:w="2160"/>
          </w:tcPr>
          <w:p>
            <w:r>
              <w:t>Tactical</w:t>
            </w:r>
          </w:p>
        </w:tc>
        <w:tc>
          <w:tcPr>
            <w:tcW w:type="dxa" w:w="2160"/>
          </w:tcPr>
          <w:p>
            <w:r>
              <w:t>Mawar, Cendana, Permata (FMCG)</w:t>
            </w:r>
          </w:p>
        </w:tc>
        <w:tc>
          <w:tcPr>
            <w:tcW w:type="dxa" w:w="2160"/>
          </w:tcPr>
          <w:p>
            <w:r>
              <w:t>Product brands</w:t>
            </w:r>
          </w:p>
        </w:tc>
        <w:tc>
          <w:tcPr>
            <w:tcW w:type="dxa" w:w="2160"/>
          </w:tcPr>
          <w:p>
            <w:r>
              <w:t>Silent - parent disclosed only on pack</w:t>
            </w:r>
          </w:p>
        </w:tc>
      </w:tr>
    </w:tbl>
    <w:p>
      <w:pPr>
        <w:pStyle w:val="Heading1"/>
      </w:pPr>
      <w:r>
        <w:t>3. Strategic intent</w:t>
      </w:r>
    </w:p>
    <w:p>
      <w:pPr>
        <w:pStyle w:val="ListBullet"/>
      </w:pPr>
      <w:r>
        <w:t>Consolidate 14 customer-facing brands into 6 strategic + 8 tactical product brands over 3 years</w:t>
      </w:r>
    </w:p>
    <w:p>
      <w:pPr>
        <w:pStyle w:val="ListBullet"/>
      </w:pPr>
      <w:r>
        <w:t>Build Zava as a Top-3 Most Loved Employer brand in ASEAN by FY2028</w:t>
      </w:r>
    </w:p>
    <w:p>
      <w:pPr>
        <w:pStyle w:val="ListBullet"/>
      </w:pPr>
      <w:r>
        <w:t>Lift cross-sell index across Group divisions by 18% by FY2028</w:t>
      </w:r>
    </w:p>
    <w:p>
      <w:pPr>
        <w:pStyle w:val="ListBullet"/>
      </w:pPr>
      <w:r>
        <w:t>Standardise brand expression - 1 master design system across digital + brick-and-mortar</w:t>
      </w:r>
    </w:p>
    <w:p>
      <w:pPr>
        <w:pStyle w:val="Heading1"/>
      </w:pPr>
      <w:r>
        <w:t>4. FY2026 priorities</w:t>
      </w:r>
    </w:p>
    <w:p>
      <w:pPr>
        <w:pStyle w:val="ListNumber"/>
      </w:pPr>
      <w:r>
        <w:t>Brand identity refresh - new master logo, design system, voice and tone</w:t>
      </w:r>
    </w:p>
    <w:p>
      <w:pPr>
        <w:pStyle w:val="ListNumber"/>
      </w:pPr>
      <w:r>
        <w:t>Launch Zava Energy as the consolidated brand (Apex Power + Hijau Renewables + Gemilang Plantations)</w:t>
      </w:r>
    </w:p>
    <w:p>
      <w:pPr>
        <w:pStyle w:val="ListNumber"/>
      </w:pPr>
      <w:r>
        <w:t>Refresh Zava Bank visual identity - phase out legacy "Cendana Bank" sub-branding</w:t>
      </w:r>
    </w:p>
    <w:p>
      <w:pPr>
        <w:pStyle w:val="ListNumber"/>
      </w:pPr>
      <w:r>
        <w:t>Employer brand campaign - global launch with Q4 priority on Malaysia + Indonesia</w:t>
      </w:r>
    </w:p>
    <w:p>
      <w:pPr>
        <w:pStyle w:val="Heading1"/>
      </w:pPr>
      <w:r>
        <w:t>5. Investment envelope</w:t>
      </w:r>
    </w:p>
    <w:p>
      <w:r>
        <w:t>Total 3-year brand investment: MYR 84M. FY2026: MYR 38M (identity refresh, system roll-out, Zava Energy launch, employer brand). FY2027: MYR 28M. FY2028: MYR 18M (steady-state).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