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Multidisciplinary Team — Previous Meeting Notes</w:t>
      </w:r>
    </w:p>
    <w:p>
      <w:r>
        <w:rPr>
          <w:i/>
          <w:color w:val="6B7280"/>
        </w:rPr>
        <w:t>Apex Specialist Centre · Spinal MDT · 2026-03-27 (most recent meeting prior to this case)</w:t>
      </w:r>
    </w:p>
    <w:p>
      <w:pPr>
        <w:pStyle w:val="Heading2"/>
      </w:pPr>
      <w:r>
        <w:rPr>
          <w:color w:val="1F2937"/>
        </w:rPr>
        <w:t>Attendees</w:t>
      </w:r>
    </w:p>
    <w:p>
      <w:pPr>
        <w:pStyle w:val="ListBullet"/>
      </w:pPr>
      <w:r>
        <w:t>Mr K. Wong — Specialist Orthopaedic Surgeon (Chair)</w:t>
      </w:r>
    </w:p>
    <w:p>
      <w:pPr>
        <w:pStyle w:val="ListBullet"/>
      </w:pPr>
      <w:r>
        <w:t>Dr L. Chen — Consultant Radiologist</w:t>
      </w:r>
    </w:p>
    <w:p>
      <w:pPr>
        <w:pStyle w:val="ListBullet"/>
      </w:pPr>
      <w:r>
        <w:t>Dr A. Lim — Pain Medicine Consultant</w:t>
      </w:r>
    </w:p>
    <w:p>
      <w:pPr>
        <w:pStyle w:val="ListBullet"/>
      </w:pPr>
      <w:r>
        <w:t>Ms S. Tan — Senior Physiotherapist</w:t>
      </w:r>
    </w:p>
    <w:p>
      <w:pPr>
        <w:pStyle w:val="ListBullet"/>
      </w:pPr>
      <w:r>
        <w:t>Ms R. Cheong — Specialist Nurse, Spine</w:t>
      </w:r>
    </w:p>
    <w:p>
      <w:pPr>
        <w:pStyle w:val="ListBullet"/>
      </w:pPr>
      <w:r>
        <w:t>Dr H. Ng — Endocrinology (corresponding member, diabetic cases)</w:t>
      </w:r>
    </w:p>
    <w:p>
      <w:pPr>
        <w:pStyle w:val="Heading2"/>
      </w:pPr>
      <w:r>
        <w:rPr>
          <w:color w:val="1F2937"/>
        </w:rPr>
        <w:t>Cases Discussed (3 of 6 relevant to current case)</w:t>
      </w:r>
    </w:p>
    <w:p>
      <w:pPr>
        <w:pStyle w:val="Heading2"/>
      </w:pPr>
      <w:r>
        <w:rPr>
          <w:color w:val="1F2937"/>
        </w:rPr>
        <w:t>Case 1 — L5/S1 disc protrusion, female 55y, diabetic (HbA1c 8.1%)</w:t>
      </w:r>
    </w:p>
    <w:p>
      <w:r>
        <w:rPr>
          <w:b w:val="0"/>
          <w:i w:val="0"/>
        </w:rPr>
        <w:t>Outcome: Deferred surgery. Diabetic control optimisation referral. Trial ESI scheduled. Decision rationale: HbA1c above pathway threshold of 8.0% for elective surgery, conservative options not exhausted, no progressive deficit. Review in 6 weeks.</w:t>
      </w:r>
    </w:p>
    <w:p>
      <w:pPr>
        <w:pStyle w:val="Heading2"/>
      </w:pPr>
      <w:r>
        <w:rPr>
          <w:color w:val="1F2937"/>
        </w:rPr>
        <w:t>Case 2 — L4/L5 lateral recess stenosis, male 62y, progressive foot drop</w:t>
      </w:r>
    </w:p>
    <w:p>
      <w:r>
        <w:rPr>
          <w:b w:val="0"/>
          <w:i w:val="0"/>
        </w:rPr>
        <w:t>Outcome: Listed for urgent decompression within 2 weeks. Progressive motor deficit grade 3/5 dorsiflexion satisfies surgical criterion regardless of conservative duration.</w:t>
      </w:r>
    </w:p>
    <w:p>
      <w:pPr>
        <w:pStyle w:val="Heading2"/>
      </w:pPr>
      <w:r>
        <w:rPr>
          <w:color w:val="1F2937"/>
        </w:rPr>
        <w:t>Case 3 — Chronic radiculopathy 14 months, multiple failed treatments</w:t>
      </w:r>
    </w:p>
    <w:p>
      <w:r>
        <w:rPr>
          <w:b w:val="0"/>
          <w:i w:val="0"/>
        </w:rPr>
        <w:t>Outcome: Referred to multidisciplinary pain programme. Surgery offered no incremental benefit per evidence review.</w:t>
      </w:r>
    </w:p>
    <w:p>
      <w:pPr>
        <w:pStyle w:val="Heading2"/>
      </w:pPr>
      <w:r>
        <w:rPr>
          <w:color w:val="1F2937"/>
        </w:rPr>
        <w:t>Recurring themes / governance</w:t>
      </w:r>
    </w:p>
    <w:p>
      <w:pPr>
        <w:pStyle w:val="ListBullet"/>
      </w:pPr>
      <w:r>
        <w:t>Diabetic-control threshold (HbA1c &lt;8.0% for elective spinal surgery) is being applied consistently; 2 cases this cycle deferred for endocrine optimisation.</w:t>
      </w:r>
    </w:p>
    <w:p>
      <w:pPr>
        <w:pStyle w:val="ListBullet"/>
      </w:pPr>
      <w:r>
        <w:t>Pre-MDT checklist completion improved from 67% (prior quarter) to 91% (this quarter). Continued focus on imaging-clinical correlation.</w:t>
      </w:r>
    </w:p>
    <w:p>
      <w:pPr>
        <w:pStyle w:val="ListBullet"/>
      </w:pPr>
      <w:r>
        <w:t>Patient-preference documentation gap: only 4/6 cases had explicit consent discussion summary. Action: nursing team to update template.</w:t>
      </w:r>
    </w:p>
    <w:p>
      <w:r>
        <w:rPr>
          <w:b w:val="0"/>
          <w:i/>
        </w:rPr>
        <w:t>Minutes prepared by: Ms R. Cheong, Specialist Nurse · Apex Specialist Centre · 2026-03-27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