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Change Control Package PHA-CC-2026-088 - Manufacturing Site Transfer (Product P-2418)</w:t>
      </w:r>
    </w:p>
    <w:p>
      <w:r>
        <w:t>Change ID: PHA-CC-2026-088 | Product: P-2418 (Active: Metformin HCl 500mg sustained-release tablets) | Initiating site: Apex Pharma Cyberjaya | Receiving site: Apex Pharma Klang</w:t>
      </w:r>
    </w:p>
    <w:p>
      <w:pPr>
        <w:pStyle w:val="Heading1"/>
      </w:pPr>
      <w:r>
        <w:t>1. Description of change</w:t>
      </w:r>
    </w:p>
    <w:p>
      <w:r>
        <w:t>Transfer of commercial manufacturing of P-2418 from Cyberjaya facility to Klang facility. Reason: Cyberjaya capacity constraint; Klang has spare capacity on Line K-202 (similar fluid-bed granulation, similar tablet press). NPRA submission scheduled August 2026.</w:t>
      </w:r>
    </w:p>
    <w:p>
      <w:pPr>
        <w:pStyle w:val="Heading1"/>
      </w:pPr>
      <w:r>
        <w:t>2. Regulatory classification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Authority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Variation Category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Filing 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submission</w:t>
            </w:r>
          </w:p>
        </w:tc>
      </w:tr>
      <w:tr>
        <w:tc>
          <w:tcPr>
            <w:tcW w:type="dxa" w:w="2160"/>
          </w:tcPr>
          <w:p>
            <w:r>
              <w:t>NPRA Malaysia</w:t>
            </w:r>
          </w:p>
        </w:tc>
        <w:tc>
          <w:tcPr>
            <w:tcW w:type="dxa" w:w="2160"/>
          </w:tcPr>
          <w:p>
            <w:r>
              <w:t>Major Variation (MaV-1)</w:t>
            </w:r>
          </w:p>
        </w:tc>
        <w:tc>
          <w:tcPr>
            <w:tcW w:type="dxa" w:w="2160"/>
          </w:tcPr>
          <w:p>
            <w:r>
              <w:t>Prior-approval supplement</w:t>
            </w:r>
          </w:p>
        </w:tc>
        <w:tc>
          <w:tcPr>
            <w:tcW w:type="dxa" w:w="2160"/>
          </w:tcPr>
          <w:p>
            <w:r>
              <w:t>15-Aug-2026</w:t>
            </w:r>
          </w:p>
        </w:tc>
      </w:tr>
      <w:tr>
        <w:tc>
          <w:tcPr>
            <w:tcW w:type="dxa" w:w="2160"/>
          </w:tcPr>
          <w:p>
            <w:r>
              <w:t>HSA Singapore (exports)</w:t>
            </w:r>
          </w:p>
        </w:tc>
        <w:tc>
          <w:tcPr>
            <w:tcW w:type="dxa" w:w="2160"/>
          </w:tcPr>
          <w:p>
            <w:r>
              <w:t>Major Variation - Manufacturing site</w:t>
            </w:r>
          </w:p>
        </w:tc>
        <w:tc>
          <w:tcPr>
            <w:tcW w:type="dxa" w:w="2160"/>
          </w:tcPr>
          <w:p>
            <w:r>
              <w:t>Prior-approval</w:t>
            </w:r>
          </w:p>
        </w:tc>
        <w:tc>
          <w:tcPr>
            <w:tcW w:type="dxa" w:w="2160"/>
          </w:tcPr>
          <w:p>
            <w:r>
              <w:t>01-Sep-2026</w:t>
            </w:r>
          </w:p>
        </w:tc>
      </w:tr>
      <w:tr>
        <w:tc>
          <w:tcPr>
            <w:tcW w:type="dxa" w:w="2160"/>
          </w:tcPr>
          <w:p>
            <w:r>
              <w:t>BPOM Indonesia (exports)</w:t>
            </w:r>
          </w:p>
        </w:tc>
        <w:tc>
          <w:tcPr>
            <w:tcW w:type="dxa" w:w="2160"/>
          </w:tcPr>
          <w:p>
            <w:r>
              <w:t>Major Variation</w:t>
            </w:r>
          </w:p>
        </w:tc>
        <w:tc>
          <w:tcPr>
            <w:tcW w:type="dxa" w:w="2160"/>
          </w:tcPr>
          <w:p>
            <w:r>
              <w:t>Prior-approval</w:t>
            </w:r>
          </w:p>
        </w:tc>
        <w:tc>
          <w:tcPr>
            <w:tcW w:type="dxa" w:w="2160"/>
          </w:tcPr>
          <w:p>
            <w:r>
              <w:t>15-Sep-2026</w:t>
            </w:r>
          </w:p>
        </w:tc>
      </w:tr>
    </w:tbl>
    <w:p>
      <w:pPr>
        <w:pStyle w:val="Heading1"/>
      </w:pPr>
      <w:r>
        <w:t>3. Risk assessment summary</w:t>
      </w:r>
    </w:p>
    <w:p>
      <w:r>
        <w:t>Cross-functional risk assessment held 28-Apr-2026 chaired by QA. Highest risks: (a) granulation process robustness on K-202 (Risk 16/25 - High), (b) tablet hardness consistency (Risk 12/25 - Medium), (c) packaging line speed mismatch (Risk 8/25 - Medium). Mitigations defined for each.</w:t>
      </w:r>
    </w:p>
    <w:p>
      <w:pPr>
        <w:pStyle w:val="Heading1"/>
      </w:pPr>
      <w:r>
        <w:t>4. Process validation strategy</w:t>
      </w:r>
    </w:p>
    <w:p>
      <w:pPr>
        <w:pStyle w:val="ListNumber"/>
      </w:pPr>
      <w:r>
        <w:t>Engineering batches: 3 batches at full commercial scale to confirm process parameters</w:t>
      </w:r>
    </w:p>
    <w:p>
      <w:pPr>
        <w:pStyle w:val="ListNumber"/>
      </w:pPr>
      <w:r>
        <w:t>Process Performance Qualification (PPQ): 3 consecutive successful batches per ICH Q7</w:t>
      </w:r>
    </w:p>
    <w:p>
      <w:pPr>
        <w:pStyle w:val="ListNumber"/>
      </w:pPr>
      <w:r>
        <w:t>Continued Process Verification (CPV) for 12 months post-launch with monthly review</w:t>
      </w:r>
    </w:p>
    <w:p>
      <w:pPr>
        <w:pStyle w:val="ListNumber"/>
      </w:pPr>
      <w:r>
        <w:t>In-process critical quality attributes monitored: tablet weight, hardness, friability, disintegration, content uniformity</w:t>
      </w:r>
    </w:p>
    <w:p>
      <w:pPr>
        <w:pStyle w:val="Heading1"/>
      </w:pPr>
      <w:r>
        <w:t>5. Stability commitment</w:t>
      </w:r>
    </w:p>
    <w:p>
      <w:r>
        <w:t>Three PPQ batches enrolled into stability per ICH Q1A. Long-term 25C/60%RH and accelerated 40C/75%RH. Stability data filed as commitment with NPRA submission; final 12-month data available March 2027.</w:t>
      </w:r>
    </w:p>
    <w:p>
      <w:pPr>
        <w:pStyle w:val="Heading1"/>
      </w:pPr>
      <w:r>
        <w:t>6. Cross-functional approvals</w:t>
      </w:r>
    </w:p>
    <w:p>
      <w:pPr>
        <w:pStyle w:val="ListBullet"/>
      </w:pPr>
      <w:r>
        <w:t>Quality Assurance Head - Lim Mei Ling - Approved 02-May-2026</w:t>
      </w:r>
    </w:p>
    <w:p>
      <w:pPr>
        <w:pStyle w:val="ListBullet"/>
      </w:pPr>
      <w:r>
        <w:t>Manufacturing Director - Ahmad bin Hassan - Approved 03-May-2026</w:t>
      </w:r>
    </w:p>
    <w:p>
      <w:pPr>
        <w:pStyle w:val="ListBullet"/>
      </w:pPr>
      <w:r>
        <w:t>Regulatory Affairs Director - Vijay Subramaniam - Approved 05-May-2026</w:t>
      </w:r>
    </w:p>
    <w:p>
      <w:pPr>
        <w:pStyle w:val="ListBullet"/>
      </w:pPr>
      <w:r>
        <w:t>Site Quality Heads (Cyberjaya and Klang) - Approved 05-May-2026</w:t>
      </w:r>
    </w:p>
    <w:p>
      <w:pPr>
        <w:pStyle w:val="ListBullet"/>
      </w:pPr>
      <w:r>
        <w:t>Qualified Person (QP) - Dr Siti Aishah - Approved subject to PPQ completion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