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F4C81"/>
        </w:rPr>
        <w:t>Patient History Summary</w:t>
      </w:r>
    </w:p>
    <w:p>
      <w:r>
        <w:rPr>
          <w:i/>
          <w:color w:val="6B7280"/>
        </w:rPr>
        <w:t>Apex Specialist Centre — Confidential · MRN: APX-2026-04421</w:t>
      </w:r>
    </w:p>
    <w:p>
      <w:pPr>
        <w:pStyle w:val="Heading2"/>
      </w:pPr>
      <w:r>
        <w:rPr>
          <w:color w:val="1F2937"/>
        </w:rPr>
        <w:t>1. Demographics</w:t>
      </w:r>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Name (pseudonymised)</w:t>
            </w:r>
          </w:p>
        </w:tc>
        <w:tc>
          <w:tcPr>
            <w:tcW w:type="dxa" w:w="4320"/>
          </w:tcPr>
          <w:p>
            <w:r>
              <w:t>Patient X</w:t>
            </w:r>
          </w:p>
        </w:tc>
      </w:tr>
      <w:tr>
        <w:tc>
          <w:tcPr>
            <w:tcW w:type="dxa" w:w="4320"/>
          </w:tcPr>
          <w:p>
            <w:r>
              <w:t>Age</w:t>
            </w:r>
          </w:p>
        </w:tc>
        <w:tc>
          <w:tcPr>
            <w:tcW w:type="dxa" w:w="4320"/>
          </w:tcPr>
          <w:p>
            <w:r>
              <w:t>58 years</w:t>
            </w:r>
          </w:p>
        </w:tc>
      </w:tr>
      <w:tr>
        <w:tc>
          <w:tcPr>
            <w:tcW w:type="dxa" w:w="4320"/>
          </w:tcPr>
          <w:p>
            <w:r>
              <w:t>Sex</w:t>
            </w:r>
          </w:p>
        </w:tc>
        <w:tc>
          <w:tcPr>
            <w:tcW w:type="dxa" w:w="4320"/>
          </w:tcPr>
          <w:p>
            <w:r>
              <w:t>Female</w:t>
            </w:r>
          </w:p>
        </w:tc>
      </w:tr>
      <w:tr>
        <w:tc>
          <w:tcPr>
            <w:tcW w:type="dxa" w:w="4320"/>
          </w:tcPr>
          <w:p>
            <w:r>
              <w:t>Occupation</w:t>
            </w:r>
          </w:p>
        </w:tc>
        <w:tc>
          <w:tcPr>
            <w:tcW w:type="dxa" w:w="4320"/>
          </w:tcPr>
          <w:p>
            <w:r>
              <w:t>Retired teacher</w:t>
            </w:r>
          </w:p>
        </w:tc>
      </w:tr>
      <w:tr>
        <w:tc>
          <w:tcPr>
            <w:tcW w:type="dxa" w:w="4320"/>
          </w:tcPr>
          <w:p>
            <w:r>
              <w:t>Residence</w:t>
            </w:r>
          </w:p>
        </w:tc>
        <w:tc>
          <w:tcPr>
            <w:tcW w:type="dxa" w:w="4320"/>
          </w:tcPr>
          <w:p>
            <w:r>
              <w:t>Kuala Lumpur</w:t>
            </w:r>
          </w:p>
        </w:tc>
      </w:tr>
      <w:tr>
        <w:tc>
          <w:tcPr>
            <w:tcW w:type="dxa" w:w="4320"/>
          </w:tcPr>
          <w:p>
            <w:r>
              <w:t>BMI</w:t>
            </w:r>
          </w:p>
        </w:tc>
        <w:tc>
          <w:tcPr>
            <w:tcW w:type="dxa" w:w="4320"/>
          </w:tcPr>
          <w:p>
            <w:r>
              <w:t>29.4 (overweight)</w:t>
            </w:r>
          </w:p>
        </w:tc>
      </w:tr>
      <w:tr>
        <w:tc>
          <w:tcPr>
            <w:tcW w:type="dxa" w:w="4320"/>
          </w:tcPr>
          <w:p>
            <w:r>
              <w:t>Smoking history</w:t>
            </w:r>
          </w:p>
        </w:tc>
        <w:tc>
          <w:tcPr>
            <w:tcW w:type="dxa" w:w="4320"/>
          </w:tcPr>
          <w:p>
            <w:r>
              <w:t>Never</w:t>
            </w:r>
          </w:p>
        </w:tc>
      </w:tr>
      <w:tr>
        <w:tc>
          <w:tcPr>
            <w:tcW w:type="dxa" w:w="4320"/>
          </w:tcPr>
          <w:p>
            <w:r>
              <w:t>Alcohol</w:t>
            </w:r>
          </w:p>
        </w:tc>
        <w:tc>
          <w:tcPr>
            <w:tcW w:type="dxa" w:w="4320"/>
          </w:tcPr>
          <w:p>
            <w:r>
              <w:t>Occasional</w:t>
            </w:r>
          </w:p>
        </w:tc>
      </w:tr>
      <w:tr>
        <w:tc>
          <w:tcPr>
            <w:tcW w:type="dxa" w:w="4320"/>
          </w:tcPr>
          <w:p>
            <w:r>
              <w:t>MRN</w:t>
            </w:r>
          </w:p>
        </w:tc>
        <w:tc>
          <w:tcPr>
            <w:tcW w:type="dxa" w:w="4320"/>
          </w:tcPr>
          <w:p>
            <w:r>
              <w:t>APX-2026-04421</w:t>
            </w:r>
          </w:p>
        </w:tc>
      </w:tr>
      <w:tr>
        <w:tc>
          <w:tcPr>
            <w:tcW w:type="dxa" w:w="4320"/>
          </w:tcPr>
          <w:p>
            <w:r>
              <w:t>Primary care GP</w:t>
            </w:r>
          </w:p>
        </w:tc>
        <w:tc>
          <w:tcPr>
            <w:tcW w:type="dxa" w:w="4320"/>
          </w:tcPr>
          <w:p>
            <w:r>
              <w:t>Dr. Tan, Apex Family Clinic</w:t>
            </w:r>
          </w:p>
        </w:tc>
      </w:tr>
    </w:tbl>
    <w:p>
      <w:pPr>
        <w:pStyle w:val="Heading2"/>
      </w:pPr>
      <w:r>
        <w:rPr>
          <w:color w:val="1F2937"/>
        </w:rPr>
        <w:t>2. Presenting Complaint</w:t>
      </w:r>
    </w:p>
    <w:p>
      <w:r>
        <w:rPr>
          <w:b w:val="0"/>
          <w:i w:val="0"/>
        </w:rPr>
        <w:t>Patient X presented to the outpatient clinic on 2026-04-03 with a 6-week history of progressive lower-back pain radiating to the left leg, associated with intermittent numbness in the lateral foot. Pain is worse on standing and walking, partially relieved by rest. No bowel or bladder symptoms. No saddle anaesthesia.</w:t>
      </w:r>
    </w:p>
    <w:p>
      <w:pPr>
        <w:pStyle w:val="Heading2"/>
      </w:pPr>
      <w:r>
        <w:rPr>
          <w:color w:val="1F2937"/>
        </w:rPr>
        <w:t>3. History of Presenting Illness</w:t>
      </w:r>
    </w:p>
    <w:p>
      <w:r>
        <w:rPr>
          <w:b w:val="0"/>
          <w:i w:val="0"/>
        </w:rPr>
        <w:t>Pain commenced 2026-02-18, initially attributed to gardening. Initial GP review on 2026-02-25 prescribed paracetamol 1g QDS and naproxen 500mg BD for 2 weeks. Pain improved 30% but did not resolve. Re-presented 2026-03-15 with worsening leg pain. GP added pregabalin 75mg BD and ordered MRI lumbar spine.</w:t>
      </w:r>
    </w:p>
    <w:p>
      <w:pPr>
        <w:pStyle w:val="Heading2"/>
      </w:pPr>
      <w:r>
        <w:rPr>
          <w:color w:val="1F2937"/>
        </w:rPr>
        <w:t>4. Past Medical History</w:t>
      </w:r>
    </w:p>
    <w:p>
      <w:pPr>
        <w:pStyle w:val="ListBullet"/>
      </w:pPr>
      <w:r>
        <w:t>Type 2 Diabetes Mellitus (diagnosed 2018; HbA1c 7.4% on metformin 1g BD)</w:t>
      </w:r>
    </w:p>
    <w:p>
      <w:pPr>
        <w:pStyle w:val="ListBullet"/>
      </w:pPr>
      <w:r>
        <w:t>Hypertension (diagnosed 2015; controlled on perindopril 8mg OD)</w:t>
      </w:r>
    </w:p>
    <w:p>
      <w:pPr>
        <w:pStyle w:val="ListBullet"/>
      </w:pPr>
      <w:r>
        <w:t>Hyperlipidaemia (on atorvastatin 20mg ON)</w:t>
      </w:r>
    </w:p>
    <w:p>
      <w:pPr>
        <w:pStyle w:val="ListBullet"/>
      </w:pPr>
      <w:r>
        <w:t>Right total knee replacement 2022 — uncomplicated recovery</w:t>
      </w:r>
    </w:p>
    <w:p>
      <w:pPr>
        <w:pStyle w:val="ListBullet"/>
      </w:pPr>
      <w:r>
        <w:t>No previous spinal surgery</w:t>
      </w:r>
    </w:p>
    <w:p>
      <w:pPr>
        <w:pStyle w:val="ListBullet"/>
      </w:pPr>
      <w:r>
        <w:t>No known drug allergies</w:t>
      </w:r>
    </w:p>
    <w:p>
      <w:pPr>
        <w:pStyle w:val="Heading2"/>
      </w:pPr>
      <w:r>
        <w:rPr>
          <w:color w:val="1F2937"/>
        </w:rPr>
        <w:t>5. Medications (Current)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Drug</w:t>
            </w:r>
          </w:p>
        </w:tc>
        <w:tc>
          <w:tcPr>
            <w:tcW w:type="dxa" w:w="2160"/>
          </w:tcPr>
          <w:p>
            <w:r>
              <w:rPr>
                <w:b/>
              </w:rPr>
              <w:t>Dose</w:t>
            </w:r>
          </w:p>
        </w:tc>
        <w:tc>
          <w:tcPr>
            <w:tcW w:type="dxa" w:w="2160"/>
          </w:tcPr>
          <w:p>
            <w:r>
              <w:rPr>
                <w:b/>
              </w:rPr>
              <w:t>Frequency</w:t>
            </w:r>
          </w:p>
        </w:tc>
        <w:tc>
          <w:tcPr>
            <w:tcW w:type="dxa" w:w="2160"/>
          </w:tcPr>
          <w:p>
            <w:r>
              <w:rPr>
                <w:b/>
              </w:rPr>
              <w:t>Indication</w:t>
            </w:r>
          </w:p>
        </w:tc>
      </w:tr>
      <w:tr>
        <w:tc>
          <w:tcPr>
            <w:tcW w:type="dxa" w:w="2160"/>
          </w:tcPr>
          <w:p>
            <w:r>
              <w:t>Metformin</w:t>
            </w:r>
          </w:p>
        </w:tc>
        <w:tc>
          <w:tcPr>
            <w:tcW w:type="dxa" w:w="2160"/>
          </w:tcPr>
          <w:p>
            <w:r>
              <w:t>1g</w:t>
            </w:r>
          </w:p>
        </w:tc>
        <w:tc>
          <w:tcPr>
            <w:tcW w:type="dxa" w:w="2160"/>
          </w:tcPr>
          <w:p>
            <w:r>
              <w:t>BD</w:t>
            </w:r>
          </w:p>
        </w:tc>
        <w:tc>
          <w:tcPr>
            <w:tcW w:type="dxa" w:w="2160"/>
          </w:tcPr>
          <w:p>
            <w:r>
              <w:t>T2DM</w:t>
            </w:r>
          </w:p>
        </w:tc>
      </w:tr>
      <w:tr>
        <w:tc>
          <w:tcPr>
            <w:tcW w:type="dxa" w:w="2160"/>
          </w:tcPr>
          <w:p>
            <w:r>
              <w:t>Perindopril</w:t>
            </w:r>
          </w:p>
        </w:tc>
        <w:tc>
          <w:tcPr>
            <w:tcW w:type="dxa" w:w="2160"/>
          </w:tcPr>
          <w:p>
            <w:r>
              <w:t>8mg</w:t>
            </w:r>
          </w:p>
        </w:tc>
        <w:tc>
          <w:tcPr>
            <w:tcW w:type="dxa" w:w="2160"/>
          </w:tcPr>
          <w:p>
            <w:r>
              <w:t>OD</w:t>
            </w:r>
          </w:p>
        </w:tc>
        <w:tc>
          <w:tcPr>
            <w:tcW w:type="dxa" w:w="2160"/>
          </w:tcPr>
          <w:p>
            <w:r>
              <w:t>HTN</w:t>
            </w:r>
          </w:p>
        </w:tc>
      </w:tr>
      <w:tr>
        <w:tc>
          <w:tcPr>
            <w:tcW w:type="dxa" w:w="2160"/>
          </w:tcPr>
          <w:p>
            <w:r>
              <w:t>Atorvastatin</w:t>
            </w:r>
          </w:p>
        </w:tc>
        <w:tc>
          <w:tcPr>
            <w:tcW w:type="dxa" w:w="2160"/>
          </w:tcPr>
          <w:p>
            <w:r>
              <w:t>20mg</w:t>
            </w:r>
          </w:p>
        </w:tc>
        <w:tc>
          <w:tcPr>
            <w:tcW w:type="dxa" w:w="2160"/>
          </w:tcPr>
          <w:p>
            <w:r>
              <w:t>ON</w:t>
            </w:r>
          </w:p>
        </w:tc>
        <w:tc>
          <w:tcPr>
            <w:tcW w:type="dxa" w:w="2160"/>
          </w:tcPr>
          <w:p>
            <w:r>
              <w:t>Hyperlipidaemia</w:t>
            </w:r>
          </w:p>
        </w:tc>
      </w:tr>
      <w:tr>
        <w:tc>
          <w:tcPr>
            <w:tcW w:type="dxa" w:w="2160"/>
          </w:tcPr>
          <w:p>
            <w:r>
              <w:t>Paracetamol</w:t>
            </w:r>
          </w:p>
        </w:tc>
        <w:tc>
          <w:tcPr>
            <w:tcW w:type="dxa" w:w="2160"/>
          </w:tcPr>
          <w:p>
            <w:r>
              <w:t>1g</w:t>
            </w:r>
          </w:p>
        </w:tc>
        <w:tc>
          <w:tcPr>
            <w:tcW w:type="dxa" w:w="2160"/>
          </w:tcPr>
          <w:p>
            <w:r>
              <w:t>QDS PRN</w:t>
            </w:r>
          </w:p>
        </w:tc>
        <w:tc>
          <w:tcPr>
            <w:tcW w:type="dxa" w:w="2160"/>
          </w:tcPr>
          <w:p>
            <w:r>
              <w:t>Back pain</w:t>
            </w:r>
          </w:p>
        </w:tc>
      </w:tr>
      <w:tr>
        <w:tc>
          <w:tcPr>
            <w:tcW w:type="dxa" w:w="2160"/>
          </w:tcPr>
          <w:p>
            <w:r>
              <w:t>Pregabalin</w:t>
            </w:r>
          </w:p>
        </w:tc>
        <w:tc>
          <w:tcPr>
            <w:tcW w:type="dxa" w:w="2160"/>
          </w:tcPr>
          <w:p>
            <w:r>
              <w:t>75mg</w:t>
            </w:r>
          </w:p>
        </w:tc>
        <w:tc>
          <w:tcPr>
            <w:tcW w:type="dxa" w:w="2160"/>
          </w:tcPr>
          <w:p>
            <w:r>
              <w:t>BD</w:t>
            </w:r>
          </w:p>
        </w:tc>
        <w:tc>
          <w:tcPr>
            <w:tcW w:type="dxa" w:w="2160"/>
          </w:tcPr>
          <w:p>
            <w:r>
              <w:t>Neuropathic pain</w:t>
            </w:r>
          </w:p>
        </w:tc>
      </w:tr>
    </w:tbl>
    <w:p>
      <w:pPr>
        <w:pStyle w:val="Heading2"/>
      </w:pPr>
      <w:r>
        <w:rPr>
          <w:color w:val="1F2937"/>
        </w:rPr>
        <w:t>6. Examination Findings (2026-04-03)</w:t>
      </w:r>
    </w:p>
    <w:p>
      <w:r>
        <w:rPr>
          <w:b w:val="0"/>
          <w:i w:val="0"/>
        </w:rPr>
        <w:t>Vitals: BP 138/82, HR 78, RR 16, T 36.7°C, SpO₂ 98% RA.</w:t>
      </w:r>
    </w:p>
    <w:p>
      <w:r>
        <w:rPr>
          <w:b w:val="0"/>
          <w:i w:val="0"/>
        </w:rPr>
        <w:t>Neurological: power 4/5 left ankle dorsiflexion, 5/5 elsewhere. Reduced sensation L5 dermatome left lower limb. Straight-leg-raise positive at 40° on left, negative on right. Reflexes preserved and symmetrical. No saddle anaesthesia. No long-tract signs.</w:t>
      </w:r>
    </w:p>
    <w:p>
      <w:pPr>
        <w:pStyle w:val="Heading2"/>
      </w:pPr>
      <w:r>
        <w:rPr>
          <w:color w:val="1F2937"/>
        </w:rPr>
        <w:t>7. Working Diagnosis</w:t>
      </w:r>
    </w:p>
    <w:p>
      <w:r>
        <w:rPr>
          <w:b w:val="0"/>
          <w:i w:val="0"/>
        </w:rPr>
        <w:t>Left L5 radiculopathy, most likely secondary to lumbar disc protrusion. Awaiting MRI for confirmation. Differential: spinal stenosis, facet joint pathology, foraminal narrowing.</w:t>
      </w:r>
    </w:p>
    <w:p>
      <w:pPr>
        <w:pStyle w:val="Heading2"/>
      </w:pPr>
      <w:r>
        <w:rPr>
          <w:color w:val="1F2937"/>
        </w:rPr>
        <w:t>8. Plan</w:t>
      </w:r>
    </w:p>
    <w:p>
      <w:pPr>
        <w:pStyle w:val="ListBullet"/>
      </w:pPr>
      <w:r>
        <w:t>MRI lumbar spine — completed 2026-04-08 (report attached)</w:t>
      </w:r>
    </w:p>
    <w:p>
      <w:pPr>
        <w:pStyle w:val="ListBullet"/>
      </w:pPr>
      <w:r>
        <w:t>Refer to Spinal MDT once imaging available</w:t>
      </w:r>
    </w:p>
    <w:p>
      <w:pPr>
        <w:pStyle w:val="ListBullet"/>
      </w:pPr>
      <w:r>
        <w:t>Continue conservative management: physiotherapy, analgesia ladder</w:t>
      </w:r>
    </w:p>
    <w:p>
      <w:pPr>
        <w:pStyle w:val="ListBullet"/>
      </w:pPr>
      <w:r>
        <w:t>Reinforce diabetic control given delayed wound healing risk if surgery indicated</w:t>
      </w:r>
    </w:p>
    <w:p>
      <w:pPr>
        <w:pStyle w:val="ListBullet"/>
      </w:pPr>
      <w:r>
        <w:t>Review at MDT decision point</w:t>
      </w:r>
    </w:p>
    <w:p>
      <w:r>
        <w:rPr>
          <w:b w:val="0"/>
          <w:i/>
        </w:rPr>
        <w:t>Dictated by: Dr. K Wong, Specialist Orthopaedic Surgeon · Apex Specialist Centre · 2026-04-03 14:25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