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Previous Board Meeting — Minutes</w:t>
      </w:r>
    </w:p>
    <w:p>
      <w:r>
        <w:rPr>
          <w:i/>
          <w:color w:val="6B7280"/>
        </w:rPr>
        <w:t>Zava Conglomerate · Q4 FY2025 Board Meeting · 2026-02-20 · CONFIDENTIAL</w:t>
      </w:r>
    </w:p>
    <w:p>
      <w:pPr>
        <w:pStyle w:val="Heading2"/>
      </w:pPr>
      <w:r>
        <w:rPr>
          <w:color w:val="1F2937"/>
        </w:rPr>
        <w:t>Attendees</w:t>
      </w:r>
    </w:p>
    <w:p>
      <w:pPr>
        <w:pStyle w:val="ListBullet"/>
      </w:pPr>
      <w:r>
        <w:t>Chair: Independent Director</w:t>
      </w:r>
    </w:p>
    <w:p>
      <w:pPr>
        <w:pStyle w:val="ListBullet"/>
      </w:pPr>
      <w:r>
        <w:t>CEO: Group CEO</w:t>
      </w:r>
    </w:p>
    <w:p>
      <w:pPr>
        <w:pStyle w:val="ListBullet"/>
      </w:pPr>
      <w:r>
        <w:t>CFO: Hadar Caspit</w:t>
      </w:r>
    </w:p>
    <w:p>
      <w:pPr>
        <w:pStyle w:val="ListBullet"/>
      </w:pPr>
      <w:r>
        <w:t>Group Chief of Staff: Sasha Ouellet</w:t>
      </w:r>
    </w:p>
    <w:p>
      <w:pPr>
        <w:pStyle w:val="ListBullet"/>
      </w:pPr>
      <w:r>
        <w:t>7 other Independent Directors</w:t>
      </w:r>
    </w:p>
    <w:p>
      <w:pPr>
        <w:pStyle w:val="ListBullet"/>
      </w:pPr>
      <w:r>
        <w:t>Group Risk Officer (item 6 only)</w:t>
      </w:r>
    </w:p>
    <w:p>
      <w:pPr>
        <w:pStyle w:val="ListBullet"/>
      </w:pPr>
      <w:r>
        <w:t>Head of Investor Relations: Daichi Maruyama</w:t>
      </w:r>
    </w:p>
    <w:p>
      <w:pPr>
        <w:pStyle w:val="Heading2"/>
      </w:pPr>
      <w:r>
        <w:rPr>
          <w:color w:val="1F2937"/>
        </w:rPr>
        <w:t>Decisions Carried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 as at Q1 FY26</w:t>
            </w:r>
          </w:p>
        </w:tc>
      </w:tr>
      <w:tr>
        <w:tc>
          <w:tcPr>
            <w:tcW w:type="dxa" w:w="2880"/>
          </w:tcPr>
          <w:p>
            <w:r>
              <w:t>FY25 audited accounts</w:t>
            </w:r>
          </w:p>
        </w:tc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2880"/>
          </w:tcPr>
          <w:p>
            <w:r>
              <w:t>Filed</w:t>
            </w:r>
          </w:p>
        </w:tc>
      </w:tr>
      <w:tr>
        <w:tc>
          <w:tcPr>
            <w:tcW w:type="dxa" w:w="2880"/>
          </w:tcPr>
          <w:p>
            <w:r>
              <w:t>Final dividend declaration</w:t>
            </w:r>
          </w:p>
        </w:tc>
        <w:tc>
          <w:tcPr>
            <w:tcW w:type="dxa" w:w="2880"/>
          </w:tcPr>
          <w:p>
            <w:r>
              <w:t>Approved MYR 1.6bn</w:t>
            </w:r>
          </w:p>
        </w:tc>
        <w:tc>
          <w:tcPr>
            <w:tcW w:type="dxa" w:w="2880"/>
          </w:tcPr>
          <w:p>
            <w:r>
              <w:t>Paid</w:t>
            </w:r>
          </w:p>
        </w:tc>
      </w:tr>
      <w:tr>
        <w:tc>
          <w:tcPr>
            <w:tcW w:type="dxa" w:w="2880"/>
          </w:tcPr>
          <w:p>
            <w:r>
              <w:t>Internal audit plan FY26</w:t>
            </w:r>
          </w:p>
        </w:tc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2880"/>
          </w:tcPr>
          <w:p>
            <w:r>
              <w:t>In execution</w:t>
            </w:r>
          </w:p>
        </w:tc>
      </w:tr>
      <w:tr>
        <w:tc>
          <w:tcPr>
            <w:tcW w:type="dxa" w:w="2880"/>
          </w:tcPr>
          <w:p>
            <w:r>
              <w:t>Risk appetite — refresh</w:t>
            </w:r>
          </w:p>
        </w:tc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2880"/>
          </w:tcPr>
          <w:p>
            <w:r>
              <w:t>In force</w:t>
            </w:r>
          </w:p>
        </w:tc>
      </w:tr>
      <w:tr>
        <w:tc>
          <w:tcPr>
            <w:tcW w:type="dxa" w:w="2880"/>
          </w:tcPr>
          <w:p>
            <w:r>
              <w:t>Op Resilience Framework v0.9</w:t>
            </w:r>
          </w:p>
        </w:tc>
        <w:tc>
          <w:tcPr>
            <w:tcW w:type="dxa" w:w="2880"/>
          </w:tcPr>
          <w:p>
            <w:r>
              <w:t>Tabled, asked for management to return with v1.0</w:t>
            </w:r>
          </w:p>
        </w:tc>
        <w:tc>
          <w:tcPr>
            <w:tcW w:type="dxa" w:w="2880"/>
          </w:tcPr>
          <w:p>
            <w:r>
              <w:t>Returning at this meeting (Item 7)</w:t>
            </w:r>
          </w:p>
        </w:tc>
      </w:tr>
      <w:tr>
        <w:tc>
          <w:tcPr>
            <w:tcW w:type="dxa" w:w="2880"/>
          </w:tcPr>
          <w:p>
            <w:r>
              <w:t>Cloud Modernisation procurement</w:t>
            </w:r>
          </w:p>
        </w:tc>
        <w:tc>
          <w:tcPr>
            <w:tcW w:type="dxa" w:w="2880"/>
          </w:tcPr>
          <w:p>
            <w:r>
              <w:t>Tabled — asked for shortlist</w:t>
            </w:r>
          </w:p>
        </w:tc>
        <w:tc>
          <w:tcPr>
            <w:tcW w:type="dxa" w:w="2880"/>
          </w:tcPr>
          <w:p>
            <w:r>
              <w:t>Returning at this meeting (Item 9)</w:t>
            </w:r>
          </w:p>
        </w:tc>
      </w:tr>
    </w:tbl>
    <w:p>
      <w:pPr>
        <w:pStyle w:val="Heading2"/>
      </w:pPr>
      <w:r>
        <w:rPr>
          <w:color w:val="1F2937"/>
        </w:rPr>
        <w:t>Key Discussion Points</w:t>
      </w:r>
    </w:p>
    <w:p>
      <w:r>
        <w:rPr>
          <w:b w:val="0"/>
          <w:i w:val="0"/>
        </w:rPr>
        <w:t>Banking — Board sought reassurance on credit cycle. CRO walked through stress test results; Board comfortable.</w:t>
      </w:r>
    </w:p>
    <w:p>
      <w:r>
        <w:rPr>
          <w:b w:val="0"/>
          <w:i w:val="0"/>
        </w:rPr>
        <w:t>M&amp;A pipeline — Board requested clearer synergy quantification on Hawthorn before progressing.</w:t>
      </w:r>
    </w:p>
    <w:p>
      <w:r>
        <w:rPr>
          <w:b w:val="0"/>
          <w:i w:val="0"/>
        </w:rPr>
        <w:t>Cybersecurity — Board endorsed accelerated investment plan; CISO to present roadmap at Q3 meeting.</w:t>
      </w:r>
    </w:p>
    <w:p>
      <w:r>
        <w:rPr>
          <w:b w:val="0"/>
          <w:i w:val="0"/>
        </w:rPr>
        <w:t>Climate — Board requested next pre-read include physical-risk assessment summary for all divisions.</w:t>
      </w:r>
    </w:p>
    <w:p>
      <w:pPr>
        <w:pStyle w:val="Heading2"/>
      </w:pPr>
      <w:r>
        <w:rPr>
          <w:color w:val="1F2937"/>
        </w:rPr>
        <w:t>Items Outstanding for This Meeting</w:t>
      </w:r>
    </w:p>
    <w:p>
      <w:pPr>
        <w:pStyle w:val="ListBullet"/>
      </w:pPr>
      <w:r>
        <w:t>Op Resilience Framework — Board approval requested</w:t>
      </w:r>
    </w:p>
    <w:p>
      <w:pPr>
        <w:pStyle w:val="ListBullet"/>
      </w:pPr>
      <w:r>
        <w:t>Cloud vendor selection — Board approval requested</w:t>
      </w:r>
    </w:p>
    <w:p>
      <w:pPr>
        <w:pStyle w:val="ListBullet"/>
      </w:pPr>
      <w:r>
        <w:t>Half-year dividend — Board approval requested</w:t>
      </w:r>
    </w:p>
    <w:p>
      <w:pPr>
        <w:pStyle w:val="ListBullet"/>
      </w:pPr>
      <w:r>
        <w:t>Hawthorn synergy quantification — addressed in Strategy Update Deck</w:t>
      </w:r>
    </w:p>
    <w:p>
      <w:pPr>
        <w:pStyle w:val="ListBullet"/>
      </w:pPr>
      <w:r>
        <w:t>Physical-risk assessment summary — included in CEO Report Section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