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Role-Specific Onboarding Plan — 30 / 60 / 90 day</w:t>
      </w:r>
    </w:p>
    <w:p>
      <w:r>
        <w:t>New hire: &lt;to be populated&gt; | Role: Senior Manager, Group Finance | Hiring manager: Hadar Caspit (Group CFO) | HRBP: Farah Idris | Buddy: Lim Mei Ling | Plan version: v1.0 | Start date: &lt;to be populated&gt;.</w:t>
      </w:r>
    </w:p>
    <w:p>
      <w:r>
        <w:t>Purpose: This plan sets expectations and milestones for the first 90 days. It is reviewed at day 14, 30, 60, and 90. Both new hire and hiring manager sign off on day 90.</w:t>
      </w:r>
    </w:p>
    <w:p>
      <w:pPr>
        <w:pStyle w:val="Heading1"/>
      </w:pPr>
      <w:r>
        <w:t>Days 0-7 — Welcome + setup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Owner</w:t>
            </w:r>
          </w:p>
        </w:tc>
        <w:tc>
          <w:tcPr>
            <w:tcW w:type="dxa" w:w="2160"/>
          </w:tcPr>
          <w:p>
            <w:r>
              <w:rPr>
                <w:b/>
              </w:rPr>
              <w:t>Deadline</w:t>
            </w:r>
          </w:p>
        </w:tc>
        <w:tc>
          <w:tcPr>
            <w:tcW w:type="dxa" w:w="2160"/>
          </w:tcPr>
          <w:p>
            <w:r>
              <w:rPr>
                <w:b/>
              </w:rPr>
              <w:t>Done?</w:t>
            </w:r>
          </w:p>
        </w:tc>
      </w:tr>
      <w:tr>
        <w:tc>
          <w:tcPr>
            <w:tcW w:type="dxa" w:w="2160"/>
          </w:tcPr>
          <w:p>
            <w:r>
              <w:t>Laptop + access setup (M365, network, VPN)</w:t>
            </w:r>
          </w:p>
        </w:tc>
        <w:tc>
          <w:tcPr>
            <w:tcW w:type="dxa" w:w="2160"/>
          </w:tcPr>
          <w:p>
            <w:r>
              <w:t>IT Onboarding</w:t>
            </w:r>
          </w:p>
        </w:tc>
        <w:tc>
          <w:tcPr>
            <w:tcW w:type="dxa" w:w="2160"/>
          </w:tcPr>
          <w:p>
            <w:r>
              <w:t>Day 1 by 10am</w:t>
            </w:r>
          </w:p>
        </w:tc>
        <w:tc>
          <w:tcPr>
            <w:tcW w:type="dxa" w:w="2160"/>
          </w:tcPr>
          <w:p>
            <w:r/>
          </w:p>
        </w:tc>
      </w:tr>
      <w:tr>
        <w:tc>
          <w:tcPr>
            <w:tcW w:type="dxa" w:w="2160"/>
          </w:tcPr>
          <w:p>
            <w:r>
              <w:t>HR orientation + benefits enrolment</w:t>
            </w:r>
          </w:p>
        </w:tc>
        <w:tc>
          <w:tcPr>
            <w:tcW w:type="dxa" w:w="2160"/>
          </w:tcPr>
          <w:p>
            <w:r>
              <w:t>Group HR</w:t>
            </w:r>
          </w:p>
        </w:tc>
        <w:tc>
          <w:tcPr>
            <w:tcW w:type="dxa" w:w="2160"/>
          </w:tcPr>
          <w:p>
            <w:r>
              <w:t>Day 1 PM</w:t>
            </w:r>
          </w:p>
        </w:tc>
        <w:tc>
          <w:tcPr>
            <w:tcW w:type="dxa" w:w="2160"/>
          </w:tcPr>
          <w:p>
            <w:r/>
          </w:p>
        </w:tc>
      </w:tr>
      <w:tr>
        <w:tc>
          <w:tcPr>
            <w:tcW w:type="dxa" w:w="2160"/>
          </w:tcPr>
          <w:p>
            <w:r>
              <w:t>Team welcome lunch</w:t>
            </w:r>
          </w:p>
        </w:tc>
        <w:tc>
          <w:tcPr>
            <w:tcW w:type="dxa" w:w="2160"/>
          </w:tcPr>
          <w:p>
            <w:r>
              <w:t>Hiring manager</w:t>
            </w:r>
          </w:p>
        </w:tc>
        <w:tc>
          <w:tcPr>
            <w:tcW w:type="dxa" w:w="2160"/>
          </w:tcPr>
          <w:p>
            <w:r>
              <w:t>Day 2</w:t>
            </w:r>
          </w:p>
        </w:tc>
        <w:tc>
          <w:tcPr>
            <w:tcW w:type="dxa" w:w="2160"/>
          </w:tcPr>
          <w:p>
            <w:r/>
          </w:p>
        </w:tc>
      </w:tr>
      <w:tr>
        <w:tc>
          <w:tcPr>
            <w:tcW w:type="dxa" w:w="2160"/>
          </w:tcPr>
          <w:p>
            <w:r>
              <w:t>Buddy 1:1 (30 min)</w:t>
            </w:r>
          </w:p>
        </w:tc>
        <w:tc>
          <w:tcPr>
            <w:tcW w:type="dxa" w:w="2160"/>
          </w:tcPr>
          <w:p>
            <w:r>
              <w:t>Lim Mei Ling</w:t>
            </w:r>
          </w:p>
        </w:tc>
        <w:tc>
          <w:tcPr>
            <w:tcW w:type="dxa" w:w="2160"/>
          </w:tcPr>
          <w:p>
            <w:r>
              <w:t>Day 3</w:t>
            </w:r>
          </w:p>
        </w:tc>
        <w:tc>
          <w:tcPr>
            <w:tcW w:type="dxa" w:w="2160"/>
          </w:tcPr>
          <w:p>
            <w:r/>
          </w:p>
        </w:tc>
      </w:tr>
      <w:tr>
        <w:tc>
          <w:tcPr>
            <w:tcW w:type="dxa" w:w="2160"/>
          </w:tcPr>
          <w:p>
            <w:r>
              <w:t>Code of Ethics, Anti-Bribery, Data Privacy e-learnings</w:t>
            </w:r>
          </w:p>
        </w:tc>
        <w:tc>
          <w:tcPr>
            <w:tcW w:type="dxa" w:w="2160"/>
          </w:tcPr>
          <w:p>
            <w:r>
              <w:t>New hire</w:t>
            </w:r>
          </w:p>
        </w:tc>
        <w:tc>
          <w:tcPr>
            <w:tcW w:type="dxa" w:w="2160"/>
          </w:tcPr>
          <w:p>
            <w:r>
              <w:t>End of Week 1</w:t>
            </w:r>
          </w:p>
        </w:tc>
        <w:tc>
          <w:tcPr>
            <w:tcW w:type="dxa" w:w="2160"/>
          </w:tcPr>
          <w:p>
            <w:r/>
          </w:p>
        </w:tc>
      </w:tr>
      <w:tr>
        <w:tc>
          <w:tcPr>
            <w:tcW w:type="dxa" w:w="2160"/>
          </w:tcPr>
          <w:p>
            <w:r>
              <w:t>Read Group Strategy Framework + FY2026 plan</w:t>
            </w:r>
          </w:p>
        </w:tc>
        <w:tc>
          <w:tcPr>
            <w:tcW w:type="dxa" w:w="2160"/>
          </w:tcPr>
          <w:p>
            <w:r>
              <w:t>New hire</w:t>
            </w:r>
          </w:p>
        </w:tc>
        <w:tc>
          <w:tcPr>
            <w:tcW w:type="dxa" w:w="2160"/>
          </w:tcPr>
          <w:p>
            <w:r>
              <w:t>End of Week 1</w:t>
            </w:r>
          </w:p>
        </w:tc>
        <w:tc>
          <w:tcPr>
            <w:tcW w:type="dxa" w:w="2160"/>
          </w:tcPr>
          <w:p>
            <w:r/>
          </w:p>
        </w:tc>
      </w:tr>
    </w:tbl>
    <w:p>
      <w:pPr>
        <w:pStyle w:val="Heading1"/>
      </w:pPr>
      <w:r>
        <w:t>Days 8-30 — Orientation + first deliverable</w:t>
      </w:r>
    </w:p>
    <w:p>
      <w:pPr>
        <w:pStyle w:val="ListBullet"/>
      </w:pPr>
      <w:r>
        <w:t>Hiring manager 1:1 weekly — review priorities and surface blockers.</w:t>
      </w:r>
    </w:p>
    <w:p>
      <w:pPr>
        <w:pStyle w:val="ListBullet"/>
      </w:pPr>
      <w:r>
        <w:t>Meet all direct stakeholders (Group Treasurer, Group FP&amp;A lead, IR, Group Risk, Tax) — 30-min intro each.</w:t>
      </w:r>
    </w:p>
    <w:p>
      <w:pPr>
        <w:pStyle w:val="ListBullet"/>
      </w:pPr>
      <w:r>
        <w:t>Shadow the monthly close cycle from D-5 to D+5 (observe, do not own yet).</w:t>
      </w:r>
    </w:p>
    <w:p>
      <w:pPr>
        <w:pStyle w:val="ListBullet"/>
      </w:pPr>
      <w:r>
        <w:t>First deliverable: complete a financial close variance analysis for one division (mentored).</w:t>
      </w:r>
    </w:p>
    <w:p>
      <w:pPr>
        <w:pStyle w:val="ListBullet"/>
      </w:pPr>
      <w:r>
        <w:t>Day 14 check-in: hiring manager + HRBP + new hire — 30 min on settling in.</w:t>
      </w:r>
    </w:p>
    <w:p>
      <w:pPr>
        <w:pStyle w:val="ListBullet"/>
      </w:pPr>
      <w:r>
        <w:t>Day 30 review: confirm one quick win delivered; refresh 60-90 day plan.</w:t>
      </w:r>
    </w:p>
    <w:p>
      <w:pPr>
        <w:pStyle w:val="Heading1"/>
      </w:pPr>
      <w:r>
        <w:t>Days 31-60 — Own a workstream</w:t>
      </w:r>
    </w:p>
    <w:p>
      <w:pPr>
        <w:pStyle w:val="ListBullet"/>
      </w:pPr>
      <w:r>
        <w:t>Take ownership of monthly close for 2 divisions (Finance Manager handover by D+45).</w:t>
      </w:r>
    </w:p>
    <w:p>
      <w:pPr>
        <w:pStyle w:val="ListBullet"/>
      </w:pPr>
      <w:r>
        <w:t>Lead one variance review session with division CFO + Group CFO (D+50).</w:t>
      </w:r>
    </w:p>
    <w:p>
      <w:pPr>
        <w:pStyle w:val="ListBullet"/>
      </w:pPr>
      <w:r>
        <w:t>Complete deep-dive on group capital structure + covenant headroom (memo to Group CFO by D+55).</w:t>
      </w:r>
    </w:p>
    <w:p>
      <w:pPr>
        <w:pStyle w:val="ListBullet"/>
      </w:pPr>
      <w:r>
        <w:t>Begin participation in monthly Risk Committee (observer first, then contributor).</w:t>
      </w:r>
    </w:p>
    <w:p>
      <w:pPr>
        <w:pStyle w:val="ListBullet"/>
      </w:pPr>
      <w:r>
        <w:t>Day 60 review: hiring manager + HRBP + new hire — formal mid-point review.</w:t>
      </w:r>
    </w:p>
    <w:p>
      <w:pPr>
        <w:pStyle w:val="Heading1"/>
      </w:pPr>
      <w:r>
        <w:t>Days 61-90 — Operate independently</w:t>
      </w:r>
    </w:p>
    <w:p>
      <w:pPr>
        <w:pStyle w:val="ListBullet"/>
      </w:pPr>
      <w:r>
        <w:t>Independently own monthly close + commentary for 3 divisions.</w:t>
      </w:r>
    </w:p>
    <w:p>
      <w:pPr>
        <w:pStyle w:val="ListBullet"/>
      </w:pPr>
      <w:r>
        <w:t>Present one substantive paper to Group CFO (e.g. covenant strategy, working capital optimisation).</w:t>
      </w:r>
    </w:p>
    <w:p>
      <w:pPr>
        <w:pStyle w:val="ListBullet"/>
      </w:pPr>
      <w:r>
        <w:t>Co-author one chapter of the next Investor Day deck.</w:t>
      </w:r>
    </w:p>
    <w:p>
      <w:pPr>
        <w:pStyle w:val="ListBullet"/>
      </w:pPr>
      <w:r>
        <w:t>Coach one junior team member on a defined area (mentee for the next 90 days).</w:t>
      </w:r>
    </w:p>
    <w:p>
      <w:pPr>
        <w:pStyle w:val="ListBullet"/>
      </w:pPr>
      <w:r>
        <w:t>Identify your top 3 development priorities for FY2027.</w:t>
      </w:r>
    </w:p>
    <w:p>
      <w:pPr>
        <w:pStyle w:val="ListBullet"/>
      </w:pPr>
      <w:r>
        <w:t>Day 90 review: confirmed standalone operator. Formal sign-off. Buddy programme closes.</w:t>
      </w:r>
    </w:p>
    <w:p>
      <w:pPr>
        <w:pStyle w:val="Heading1"/>
      </w:pPr>
      <w:r>
        <w:t>Success criteria</w:t>
      </w:r>
    </w:p>
    <w:p>
      <w:pPr>
        <w:pStyle w:val="ListBullet"/>
      </w:pPr>
      <w:r>
        <w:t>Trust earned with peers and stakeholders (HRBP collects 360-feedback at D+90).</w:t>
      </w:r>
    </w:p>
    <w:p>
      <w:pPr>
        <w:pStyle w:val="ListBullet"/>
      </w:pPr>
      <w:r>
        <w:t>Quick win + substantive contribution both delivered.</w:t>
      </w:r>
    </w:p>
    <w:p>
      <w:pPr>
        <w:pStyle w:val="ListBullet"/>
      </w:pPr>
      <w:r>
        <w:t>No unaddressed compliance / ethics flags.</w:t>
      </w:r>
    </w:p>
    <w:p>
      <w:pPr>
        <w:pStyle w:val="ListBullet"/>
      </w:pPr>
      <w:r>
        <w:t>Wellbeing rating self-assessed and confirmed by hiring manager: green.</w:t>
      </w:r>
    </w:p>
    <w:p>
      <w:pPr>
        <w:pStyle w:val="Heading1"/>
      </w:pPr>
      <w:r>
        <w:t>Escalation + support</w:t>
      </w:r>
    </w:p>
    <w:p>
      <w:r>
        <w:t>If at any point the new hire feels off-track or under-supported, the escalation path is: Buddy first, then HRBP (Farah Idris), then HRBP escalation to Head of HR. Confidentiality is preserved at every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