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External Audit Findings Report - Apex Hospital Chain Bhd FY2025</w:t>
      </w:r>
    </w:p>
    <w:p>
      <w:r>
        <w:t>Auditor: KPMG PLT | Engagement Partner: Vijay Subramaniam | Period: FYE 31 December 2025 | Date issued: 12 May 2026 | Recipients: Audit Committee + Group CFO</w:t>
      </w:r>
    </w:p>
    <w:p>
      <w:pPr>
        <w:pStyle w:val="Heading1"/>
      </w:pPr>
      <w:r>
        <w:t>1. Audit opinion</w:t>
      </w:r>
    </w:p>
    <w:p>
      <w:r>
        <w:t>In our opinion, the consolidated financial statements of Apex Hospital Chain Bhd and its subsidiaries give a true and fair view of the consolidated financial position as at 31 December 2025, and of their consolidated financial performance and cash flows for the year then ended, in accordance with Malaysian Financial Reporting Standards (MFRS) and Companies Act 2016. Unqualified opinion.</w:t>
      </w:r>
    </w:p>
    <w:p>
      <w:pPr>
        <w:pStyle w:val="Heading1"/>
      </w:pPr>
      <w:r>
        <w:t>2. Key audit matters</w:t>
      </w:r>
    </w:p>
    <w:p>
      <w:pPr>
        <w:pStyle w:val="ListBullet"/>
      </w:pPr>
      <w:r>
        <w:t>KAM-1 - Revenue recognition for managed care contracts (significant judgement)</w:t>
      </w:r>
    </w:p>
    <w:p>
      <w:pPr>
        <w:pStyle w:val="ListBullet"/>
      </w:pPr>
      <w:r>
        <w:t>KAM-2 - Impairment assessment of goodwill from FY2022 acquisition of Cendana Medical Centre</w:t>
      </w:r>
    </w:p>
    <w:p>
      <w:pPr>
        <w:pStyle w:val="ListBullet"/>
      </w:pPr>
      <w:r>
        <w:t>KAM-3 - Provisions for medical malpractice claims (estimation uncertainty)</w:t>
      </w:r>
    </w:p>
    <w:p>
      <w:pPr>
        <w:pStyle w:val="Heading1"/>
      </w:pPr>
      <w:r>
        <w:t>3. Findings classified by severity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Severity</w:t>
            </w:r>
          </w:p>
        </w:tc>
        <w:tc>
          <w:tcPr>
            <w:tcW w:type="dxa" w:w="2160"/>
          </w:tcPr>
          <w:p>
            <w:r>
              <w:rPr>
                <w:b/>
              </w:rPr>
              <w:t>Findings</w:t>
            </w:r>
          </w:p>
        </w:tc>
        <w:tc>
          <w:tcPr>
            <w:tcW w:type="dxa" w:w="2160"/>
          </w:tcPr>
          <w:p>
            <w:r>
              <w:rPr>
                <w:b/>
              </w:rPr>
              <w:t>Owner</w:t>
            </w:r>
          </w:p>
        </w:tc>
        <w:tc>
          <w:tcPr>
            <w:tcW w:type="dxa" w:w="2160"/>
          </w:tcPr>
          <w:p>
            <w:r>
              <w:rPr>
                <w:b/>
              </w:rPr>
              <w:t>Target close</w:t>
            </w:r>
          </w:p>
        </w:tc>
      </w:tr>
      <w:tr>
        <w:tc>
          <w:tcPr>
            <w:tcW w:type="dxa" w:w="2160"/>
          </w:tcPr>
          <w:p>
            <w:r>
              <w:t>Significant Deficiency</w:t>
            </w:r>
          </w:p>
        </w:tc>
        <w:tc>
          <w:tcPr>
            <w:tcW w:type="dxa" w:w="2160"/>
          </w:tcPr>
          <w:p>
            <w:r>
              <w:t>2</w:t>
            </w:r>
          </w:p>
        </w:tc>
        <w:tc>
          <w:tcPr>
            <w:tcW w:type="dxa" w:w="2160"/>
          </w:tcPr>
          <w:p>
            <w:r>
              <w:t>CFO Office</w:t>
            </w:r>
          </w:p>
        </w:tc>
        <w:tc>
          <w:tcPr>
            <w:tcW w:type="dxa" w:w="2160"/>
          </w:tcPr>
          <w:p>
            <w:r>
              <w:t>30-Jun-2026</w:t>
            </w:r>
          </w:p>
        </w:tc>
      </w:tr>
      <w:tr>
        <w:tc>
          <w:tcPr>
            <w:tcW w:type="dxa" w:w="2160"/>
          </w:tcPr>
          <w:p>
            <w:r>
              <w:t>Control Deficiency</w:t>
            </w:r>
          </w:p>
        </w:tc>
        <w:tc>
          <w:tcPr>
            <w:tcW w:type="dxa" w:w="2160"/>
          </w:tcPr>
          <w:p>
            <w:r>
              <w:t>7</w:t>
            </w:r>
          </w:p>
        </w:tc>
        <w:tc>
          <w:tcPr>
            <w:tcW w:type="dxa" w:w="2160"/>
          </w:tcPr>
          <w:p>
            <w:r>
              <w:t>Various Heads</w:t>
            </w:r>
          </w:p>
        </w:tc>
        <w:tc>
          <w:tcPr>
            <w:tcW w:type="dxa" w:w="2160"/>
          </w:tcPr>
          <w:p>
            <w:r>
              <w:t>31-Dec-2026</w:t>
            </w:r>
          </w:p>
        </w:tc>
      </w:tr>
      <w:tr>
        <w:tc>
          <w:tcPr>
            <w:tcW w:type="dxa" w:w="2160"/>
          </w:tcPr>
          <w:p>
            <w:r>
              <w:t>Recommendation</w:t>
            </w:r>
          </w:p>
        </w:tc>
        <w:tc>
          <w:tcPr>
            <w:tcW w:type="dxa" w:w="2160"/>
          </w:tcPr>
          <w:p>
            <w:r>
              <w:t>14</w:t>
            </w:r>
          </w:p>
        </w:tc>
        <w:tc>
          <w:tcPr>
            <w:tcW w:type="dxa" w:w="2160"/>
          </w:tcPr>
          <w:p>
            <w:r>
              <w:t>Various Heads</w:t>
            </w:r>
          </w:p>
        </w:tc>
        <w:tc>
          <w:tcPr>
            <w:tcW w:type="dxa" w:w="2160"/>
          </w:tcPr>
          <w:p>
            <w:r>
              <w:t>FY2026 cycle</w:t>
            </w:r>
          </w:p>
        </w:tc>
      </w:tr>
    </w:tbl>
    <w:p>
      <w:pPr>
        <w:pStyle w:val="Heading1"/>
      </w:pPr>
      <w:r>
        <w:t>4. Significant deficiencies - detail</w:t>
      </w:r>
    </w:p>
    <w:p>
      <w:pPr>
        <w:pStyle w:val="ListNumber"/>
      </w:pPr>
      <w:r>
        <w:t>SD-1 - Inadequate IT general controls in revenue cycle management application (RCM-2) at 4 hospitals - manual reconciliation does not fully compensate. Management response: ITGC remediation plan engaged with vendor; close by 30-Jun-2026.</w:t>
      </w:r>
    </w:p>
    <w:p>
      <w:pPr>
        <w:pStyle w:val="ListNumber"/>
      </w:pPr>
      <w:r>
        <w:t>SD-2 - Delayed reconciliation of intercompany balances between holding and 3 subsidiaries (4-week delay vs 2-week policy). Management response: process redesign and SLA enforcement; close by 31-May-2026.</w:t>
      </w:r>
    </w:p>
    <w:p>
      <w:pPr>
        <w:pStyle w:val="Heading1"/>
      </w:pPr>
      <w:r>
        <w:t>5. Audit fees and non-audit services</w:t>
      </w:r>
    </w:p>
    <w:p>
      <w:r>
        <w:t>Audit fees for FY2025: MYR 2,840,000 (FY2024: MYR 2,620,000). Non-audit services pre-approved by Audit Committee: MYR 480,000 (transfer-pricing advisory and ICAP review). Non-audit fee ratio: 17%, within Bursa MMLR 15.18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