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F4C81"/>
        </w:rPr>
        <w:t>Strategic Rationale Memo — Capex Project Site A</w:t>
      </w:r>
    </w:p>
    <w:p>
      <w:r>
        <w:rPr>
          <w:i/>
          <w:color w:val="6B7280"/>
        </w:rPr>
        <w:t>Zava Conglomerate · Strategy Office · For FID Approval · Date: 2026-05-15</w:t>
      </w:r>
    </w:p>
    <w:p>
      <w:pPr>
        <w:pStyle w:val="Heading2"/>
      </w:pPr>
      <w:r>
        <w:rPr>
          <w:color w:val="1F2937"/>
        </w:rPr>
        <w:t>1. Strategic Context</w:t>
      </w:r>
    </w:p>
    <w:p>
      <w:r>
        <w:rPr>
          <w:b w:val="0"/>
          <w:i w:val="0"/>
        </w:rPr>
        <w:t>Zava's industrial-manufacturing division currently runs three plants (Sites B, C, D) at average utilisation 87%. Forecast demand growth of 6-8% p.a. over the next 5 years exceeds available capacity by 2027. Failure to add capacity risks losing 12-18% of incremental demand to competitors.</w:t>
      </w:r>
    </w:p>
    <w:p>
      <w:r>
        <w:rPr>
          <w:b w:val="0"/>
          <w:i w:val="0"/>
        </w:rPr>
        <w:t>Site A capex addresses this gap and adds optionality to serve a higher-margin specialty product line not currently in Zava's portfolio. The specialty line has a TAM of MYR 2.4bn and grows at 14% p.a.</w:t>
      </w:r>
    </w:p>
    <w:p>
      <w:pPr>
        <w:pStyle w:val="Heading2"/>
      </w:pPr>
      <w:r>
        <w:rPr>
          <w:color w:val="1F2937"/>
        </w:rPr>
        <w:t>2. Strategic Fit (Zava Forward 2030)</w:t>
      </w:r>
    </w:p>
    <w:p>
      <w:r>
        <w:rPr>
          <w:b w:val="0"/>
          <w:i w:val="0"/>
        </w:rPr>
        <w:t>Aligned to Pillar 1 — Customer-Obsessed Growth (capacity to serve top 5 existing customers + 2 anchor wins).</w:t>
      </w:r>
    </w:p>
    <w:p>
      <w:r>
        <w:rPr>
          <w:b w:val="0"/>
          <w:i w:val="0"/>
        </w:rPr>
        <w:t>Aligned to Pillar 2 — Capital Productivity (ROIC year-5 of 14.2% exceeds Group threshold of 12%).</w:t>
      </w:r>
    </w:p>
    <w:p>
      <w:r>
        <w:rPr>
          <w:b w:val="0"/>
          <w:i w:val="0"/>
        </w:rPr>
        <w:t>Aligned to Pillar 3 — Operational Excellence (BAT plant design, energy efficiency 14% better than current Sites B-D, automated quality lab).</w:t>
      </w:r>
    </w:p>
    <w:p>
      <w:pPr>
        <w:pStyle w:val="Heading2"/>
      </w:pPr>
      <w:r>
        <w:rPr>
          <w:color w:val="1F2937"/>
        </w:rPr>
        <w:t>3. Strategic Risks</w:t>
      </w:r>
    </w:p>
    <w:p>
      <w:pPr>
        <w:pStyle w:val="ListBullet"/>
      </w:pPr>
      <w:r>
        <w:t>Demand risk — if industrial cycle softens, capacity sits idle. Mitigated by phased commissioning (Process Line A first, B in Year 3 based on demand).</w:t>
      </w:r>
    </w:p>
    <w:p>
      <w:pPr>
        <w:pStyle w:val="ListBullet"/>
      </w:pPr>
      <w:r>
        <w:t>Capex overrun — Construction permits not yet finalised. Mitigated by independent project owner's engineer and 10% contingency.</w:t>
      </w:r>
    </w:p>
    <w:p>
      <w:pPr>
        <w:pStyle w:val="ListBullet"/>
      </w:pPr>
      <w:r>
        <w:t>Operational risk — first plant with this scale automation in our portfolio. Mitigated by partnership with experienced EPC.</w:t>
      </w:r>
    </w:p>
    <w:p>
      <w:pPr>
        <w:pStyle w:val="ListBullet"/>
      </w:pPr>
      <w:r>
        <w:t>Stranded asset risk — if regulatory shift on environmental compliance happens. Mitigated by BAT design + 20% margin above current standards.</w:t>
      </w:r>
    </w:p>
    <w:p>
      <w:pPr>
        <w:pStyle w:val="Heading2"/>
      </w:pPr>
      <w:r>
        <w:rPr>
          <w:color w:val="1F2937"/>
        </w:rPr>
        <w:t>4. Strategic Alternatives Considered</w:t>
      </w:r>
    </w:p>
    <w:p>
      <w:pPr>
        <w:pStyle w:val="ListBullet"/>
      </w:pPr>
      <w:r>
        <w:t>M&amp;A — acquire existing capacity. Rejected — no available target at attractive valuation, integration risk high.</w:t>
      </w:r>
    </w:p>
    <w:p>
      <w:pPr>
        <w:pStyle w:val="ListBullet"/>
      </w:pPr>
      <w:r>
        <w:t>Greenfield at smaller scale — half-size plant. Rejected — unit economics inferior, no specialty line option.</w:t>
      </w:r>
    </w:p>
    <w:p>
      <w:pPr>
        <w:pStyle w:val="ListBullet"/>
      </w:pPr>
      <w:r>
        <w:t>Capacity expansion at Site D — Rejected — physically constrained, environmental headroom exhausted.</w:t>
      </w:r>
    </w:p>
    <w:p>
      <w:pPr>
        <w:pStyle w:val="ListBullet"/>
      </w:pPr>
      <w:r>
        <w:t>Toll manufacturing arrangement — Rejected — strategic dependency on third party, no specialty line capability.</w:t>
      </w:r>
    </w:p>
    <w:p>
      <w:pPr>
        <w:pStyle w:val="Heading2"/>
      </w:pPr>
      <w:r>
        <w:rPr>
          <w:color w:val="1F2937"/>
        </w:rPr>
        <w:t>5. Recommendation</w:t>
      </w:r>
    </w:p>
    <w:p>
      <w:r>
        <w:rPr>
          <w:b w:val="0"/>
          <w:i w:val="0"/>
        </w:rPr>
        <w:t>Approve FID at base case capex MYR 620M. Authorise Phase 1 commitments (MYR 252M). Conditions: (a) Detailed EIA approval received by 2026-07-31; (b) Process Line A and Civil Earthworks contracts awarded by 2026-08-31; (c) FID stage-gate review at end of 2026 confirming permit status before Phase 2 commitments.</w:t>
      </w:r>
    </w:p>
    <w:p>
      <w:r>
        <w:rPr>
          <w:b w:val="0"/>
          <w:i/>
        </w:rPr>
        <w:t>Submitted by Mod Admin, Group Strategy Director · Endorsed by Hadar Caspit, Group CFO · 2026-05-15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