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Zava Group — Sustainability Strategy 2030</w:t>
      </w:r>
    </w:p>
    <w:p>
      <w:r>
        <w:t>Approver: Board Sustainability Committee | Sponsor: Hadar Caspit (Group CFO) | Co-sponsor: Daichi Maruyama (Head of IR) | Version: 4.0 | Refreshed: April 2026.</w:t>
      </w:r>
    </w:p>
    <w:p>
      <w:pPr>
        <w:pStyle w:val="Heading1"/>
      </w:pPr>
      <w:r>
        <w:t>1. Why we do this</w:t>
      </w:r>
    </w:p>
    <w:p>
      <w:r>
        <w:t>Sustainability is now a commercial decision, not a compliance overlay. ASEAN customers, regulators, employees, and capital providers all expect Zava to operate within an explicit sustainability envelope. Our cost of capital, talent retention, and licence-to-operate depend on credible action.</w:t>
      </w:r>
    </w:p>
    <w:p>
      <w:r>
        <w:t>This strategy is the Board-endorsed roadmap to 2030. It is reviewed annually by the Board Sustainability Committee. Group CFO is the accountable executive.</w:t>
      </w:r>
    </w:p>
    <w:p>
      <w:pPr>
        <w:pStyle w:val="Heading1"/>
      </w:pPr>
      <w:r>
        <w:t>2. Our five pillars</w:t>
      </w:r>
    </w:p>
    <w:p>
      <w:pPr>
        <w:pStyle w:val="ListBullet"/>
      </w:pPr>
      <w:r>
        <w:t>Climate — net-zero Scope 1+2 by 2050; -45% by 2030 vs 2019 baseline.</w:t>
      </w:r>
    </w:p>
    <w:p>
      <w:pPr>
        <w:pStyle w:val="ListBullet"/>
      </w:pPr>
      <w:r>
        <w:t>Nature — zero deforestation across plantation supply chain by 2028; water positive by 2035.</w:t>
      </w:r>
    </w:p>
    <w:p>
      <w:pPr>
        <w:pStyle w:val="ListBullet"/>
      </w:pPr>
      <w:r>
        <w:t>People — top decile diversity and inclusion; LTIFR &lt; 1.0 by 2030.</w:t>
      </w:r>
    </w:p>
    <w:p>
      <w:pPr>
        <w:pStyle w:val="ListBullet"/>
      </w:pPr>
      <w:r>
        <w:t>Communities — 1.5% of group PBT committed to community programmes annually.</w:t>
      </w:r>
    </w:p>
    <w:p>
      <w:pPr>
        <w:pStyle w:val="ListBullet"/>
      </w:pPr>
      <w:r>
        <w:t>Governance — independent assurance on 30+ sustainability KPIs by 2028.</w:t>
      </w:r>
    </w:p>
    <w:p>
      <w:pPr>
        <w:pStyle w:val="Heading1"/>
      </w:pPr>
      <w:r>
        <w:t>3. 2030 targets and current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2019 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FY2030 target</w:t>
            </w:r>
          </w:p>
        </w:tc>
      </w:tr>
      <w:tr>
        <w:tc>
          <w:tcPr>
            <w:tcW w:type="dxa" w:w="1728"/>
          </w:tcPr>
          <w:p>
            <w:r>
              <w:t>Climate</w:t>
            </w:r>
          </w:p>
        </w:tc>
        <w:tc>
          <w:tcPr>
            <w:tcW w:type="dxa" w:w="1728"/>
          </w:tcPr>
          <w:p>
            <w:r>
              <w:t>Scope 1+2 (ktCO2e)</w:t>
            </w:r>
          </w:p>
        </w:tc>
        <w:tc>
          <w:tcPr>
            <w:tcW w:type="dxa" w:w="1728"/>
          </w:tcPr>
          <w:p>
            <w:r>
              <w:t>296</w:t>
            </w:r>
          </w:p>
        </w:tc>
        <w:tc>
          <w:tcPr>
            <w:tcW w:type="dxa" w:w="1728"/>
          </w:tcPr>
          <w:p>
            <w:r>
              <w:t>264.5</w:t>
            </w:r>
          </w:p>
        </w:tc>
        <w:tc>
          <w:tcPr>
            <w:tcW w:type="dxa" w:w="1728"/>
          </w:tcPr>
          <w:p>
            <w:r>
              <w:t>156 (-47%)</w:t>
            </w:r>
          </w:p>
        </w:tc>
      </w:tr>
      <w:tr>
        <w:tc>
          <w:tcPr>
            <w:tcW w:type="dxa" w:w="1728"/>
          </w:tcPr>
          <w:p>
            <w:r>
              <w:t>Climate</w:t>
            </w:r>
          </w:p>
        </w:tc>
        <w:tc>
          <w:tcPr>
            <w:tcW w:type="dxa" w:w="1728"/>
          </w:tcPr>
          <w:p>
            <w:r>
              <w:t>Renewable electricity %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22%</w:t>
            </w:r>
          </w:p>
        </w:tc>
        <w:tc>
          <w:tcPr>
            <w:tcW w:type="dxa" w:w="1728"/>
          </w:tcPr>
          <w:p>
            <w:r>
              <w:t>50%</w:t>
            </w:r>
          </w:p>
        </w:tc>
      </w:tr>
      <w:tr>
        <w:tc>
          <w:tcPr>
            <w:tcW w:type="dxa" w:w="1728"/>
          </w:tcPr>
          <w:p>
            <w:r>
              <w:t>Climate</w:t>
            </w:r>
          </w:p>
        </w:tc>
        <w:tc>
          <w:tcPr>
            <w:tcW w:type="dxa" w:w="1728"/>
          </w:tcPr>
          <w:p>
            <w:r>
              <w:t>Scope 3 (selected) ktCO2e</w:t>
            </w:r>
          </w:p>
        </w:tc>
        <w:tc>
          <w:tcPr>
            <w:tcW w:type="dxa" w:w="1728"/>
          </w:tcPr>
          <w:p>
            <w:r>
              <w:t>2,140</w:t>
            </w:r>
          </w:p>
        </w:tc>
        <w:tc>
          <w:tcPr>
            <w:tcW w:type="dxa" w:w="1728"/>
          </w:tcPr>
          <w:p>
            <w:r>
              <w:t>1,742</w:t>
            </w:r>
          </w:p>
        </w:tc>
        <w:tc>
          <w:tcPr>
            <w:tcW w:type="dxa" w:w="1728"/>
          </w:tcPr>
          <w:p>
            <w:r>
              <w:t>&lt; 1,500</w:t>
            </w:r>
          </w:p>
        </w:tc>
      </w:tr>
      <w:tr>
        <w:tc>
          <w:tcPr>
            <w:tcW w:type="dxa" w:w="1728"/>
          </w:tcPr>
          <w:p>
            <w:r>
              <w:t>Nature</w:t>
            </w:r>
          </w:p>
        </w:tc>
        <w:tc>
          <w:tcPr>
            <w:tcW w:type="dxa" w:w="1728"/>
          </w:tcPr>
          <w:p>
            <w:r>
              <w:t>Deforestation incidents (plantation)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Nature</w:t>
            </w:r>
          </w:p>
        </w:tc>
        <w:tc>
          <w:tcPr>
            <w:tcW w:type="dxa" w:w="1728"/>
          </w:tcPr>
          <w:p>
            <w:r>
              <w:t>Water withdrawal intensity (m3/MYR M)</w:t>
            </w:r>
          </w:p>
        </w:tc>
        <w:tc>
          <w:tcPr>
            <w:tcW w:type="dxa" w:w="1728"/>
          </w:tcPr>
          <w:p>
            <w:r>
              <w:t>420</w:t>
            </w:r>
          </w:p>
        </w:tc>
        <w:tc>
          <w:tcPr>
            <w:tcW w:type="dxa" w:w="1728"/>
          </w:tcPr>
          <w:p>
            <w:r>
              <w:t>362</w:t>
            </w:r>
          </w:p>
        </w:tc>
        <w:tc>
          <w:tcPr>
            <w:tcW w:type="dxa" w:w="1728"/>
          </w:tcPr>
          <w:p>
            <w:r>
              <w:t>&lt; 280</w:t>
            </w:r>
          </w:p>
        </w:tc>
      </w:tr>
      <w:tr>
        <w:tc>
          <w:tcPr>
            <w:tcW w:type="dxa" w:w="1728"/>
          </w:tcPr>
          <w:p>
            <w:r>
              <w:t>People</w:t>
            </w:r>
          </w:p>
        </w:tc>
        <w:tc>
          <w:tcPr>
            <w:tcW w:type="dxa" w:w="1728"/>
          </w:tcPr>
          <w:p>
            <w:r>
              <w:t>Women in leadership %</w:t>
            </w:r>
          </w:p>
        </w:tc>
        <w:tc>
          <w:tcPr>
            <w:tcW w:type="dxa" w:w="1728"/>
          </w:tcPr>
          <w:p>
            <w:r>
              <w:t>24%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40%</w:t>
            </w:r>
          </w:p>
        </w:tc>
      </w:tr>
      <w:tr>
        <w:tc>
          <w:tcPr>
            <w:tcW w:type="dxa" w:w="1728"/>
          </w:tcPr>
          <w:p>
            <w:r>
              <w:t>People</w:t>
            </w:r>
          </w:p>
        </w:tc>
        <w:tc>
          <w:tcPr>
            <w:tcW w:type="dxa" w:w="1728"/>
          </w:tcPr>
          <w:p>
            <w:r>
              <w:t>LTIFR (per million hrs)</w:t>
            </w:r>
          </w:p>
        </w:tc>
        <w:tc>
          <w:tcPr>
            <w:tcW w:type="dxa" w:w="1728"/>
          </w:tcPr>
          <w:p>
            <w:r>
              <w:t>1.84</w:t>
            </w:r>
          </w:p>
        </w:tc>
        <w:tc>
          <w:tcPr>
            <w:tcW w:type="dxa" w:w="1728"/>
          </w:tcPr>
          <w:p>
            <w:r>
              <w:t>1.18</w:t>
            </w:r>
          </w:p>
        </w:tc>
        <w:tc>
          <w:tcPr>
            <w:tcW w:type="dxa" w:w="1728"/>
          </w:tcPr>
          <w:p>
            <w:r>
              <w:t>&lt; 1.0</w:t>
            </w:r>
          </w:p>
        </w:tc>
      </w:tr>
      <w:tr>
        <w:tc>
          <w:tcPr>
            <w:tcW w:type="dxa" w:w="1728"/>
          </w:tcPr>
          <w:p>
            <w:r>
              <w:t>Communities</w:t>
            </w:r>
          </w:p>
        </w:tc>
        <w:tc>
          <w:tcPr>
            <w:tcW w:type="dxa" w:w="1728"/>
          </w:tcPr>
          <w:p>
            <w:r>
              <w:t>% PBT committed</w:t>
            </w:r>
          </w:p>
        </w:tc>
        <w:tc>
          <w:tcPr>
            <w:tcW w:type="dxa" w:w="1728"/>
          </w:tcPr>
          <w:p>
            <w:r>
              <w:t>0.8%</w:t>
            </w:r>
          </w:p>
        </w:tc>
        <w:tc>
          <w:tcPr>
            <w:tcW w:type="dxa" w:w="1728"/>
          </w:tcPr>
          <w:p>
            <w:r>
              <w:t>1.4%</w:t>
            </w:r>
          </w:p>
        </w:tc>
        <w:tc>
          <w:tcPr>
            <w:tcW w:type="dxa" w:w="1728"/>
          </w:tcPr>
          <w:p>
            <w:r>
              <w:t>1.5%</w:t>
            </w:r>
          </w:p>
        </w:tc>
      </w:tr>
      <w:tr>
        <w:tc>
          <w:tcPr>
            <w:tcW w:type="dxa" w:w="1728"/>
          </w:tcPr>
          <w:p>
            <w:r>
              <w:t>Governance</w:t>
            </w:r>
          </w:p>
        </w:tc>
        <w:tc>
          <w:tcPr>
            <w:tcW w:type="dxa" w:w="1728"/>
          </w:tcPr>
          <w:p>
            <w:r>
              <w:t># KPIs externally assured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30+</w:t>
            </w:r>
          </w:p>
        </w:tc>
      </w:tr>
    </w:tbl>
    <w:p>
      <w:pPr>
        <w:pStyle w:val="Heading1"/>
      </w:pPr>
      <w:r>
        <w:t>4. Investment thesis to 2030</w:t>
      </w:r>
    </w:p>
    <w:p>
      <w:r>
        <w:t>Capex envelope FY2025-FY2030 dedicated to sustainability transition: MYR 8.2B (16% of group capex). Top three programmes: (a) plantation supply-chain traceability + replanting (MYR 2.4B), (b) renewable energy + grid efficiency (MYR 2.1B), (c) building electrification + EV fleet (MYR 1.4B).</w:t>
      </w:r>
    </w:p>
    <w:p>
      <w:r>
        <w:t>Expected return profile: portfolio-weighted IRR 11.4%, payback 7.2 years. Cost of capital advantage from sustainability-linked financing (currently 35bp on MYR 12.4B of facilities).</w:t>
      </w:r>
    </w:p>
    <w:p>
      <w:pPr>
        <w:pStyle w:val="Heading1"/>
      </w:pPr>
      <w:r>
        <w:t>5. Disclosure roadmap</w:t>
      </w:r>
    </w:p>
    <w:p>
      <w:pPr>
        <w:pStyle w:val="ListBullet"/>
      </w:pPr>
      <w:r>
        <w:t>IFRS S1 — fully adopted FY2025. Reasonable assurance on 5 KPIs.</w:t>
      </w:r>
    </w:p>
    <w:p>
      <w:pPr>
        <w:pStyle w:val="ListBullet"/>
      </w:pPr>
      <w:r>
        <w:t>IFRS S2 — phase 1 (governance + strategy) reported FY2024. Phase 2 (quantified scenario analysis) FY2026.</w:t>
      </w:r>
    </w:p>
    <w:p>
      <w:pPr>
        <w:pStyle w:val="ListBullet"/>
      </w:pPr>
      <w:r>
        <w:t>TCFD — all 11 recommendations met since FY2023.</w:t>
      </w:r>
    </w:p>
    <w:p>
      <w:pPr>
        <w:pStyle w:val="ListBullet"/>
      </w:pPr>
      <w:r>
        <w:t>GRI — comprehensive option since FY2023.</w:t>
      </w:r>
    </w:p>
    <w:p>
      <w:pPr>
        <w:pStyle w:val="ListBullet"/>
      </w:pPr>
      <w:r>
        <w:t>CDP — A- target by FY2028 (current B).</w:t>
      </w:r>
    </w:p>
    <w:p>
      <w:pPr>
        <w:pStyle w:val="ListBullet"/>
      </w:pPr>
      <w:r>
        <w:t>Bursa MMLR Sustainability — full compliance + 4 industry-specific indicators.</w:t>
      </w:r>
    </w:p>
    <w:p>
      <w:pPr>
        <w:pStyle w:val="Heading1"/>
      </w:pPr>
      <w:r>
        <w:t>6. Governance + accountability</w:t>
      </w:r>
    </w:p>
    <w:p>
      <w:r>
        <w:t>Board Sustainability Committee — quarterly, chaired by INED. Group CFO is the accountable executive. Each operating division has a sustainability lead reporting both to division CEO and to Group CFO on sustainability matters. Internal Audit reviews sustainability controls annually. External auditor provides limited assurance over 14 KPIs (target 30+ by 2028).</w:t>
      </w:r>
    </w:p>
    <w:p>
      <w:pPr>
        <w:pStyle w:val="Heading1"/>
      </w:pPr>
      <w:r>
        <w:t>7. Risks we are watching</w:t>
      </w:r>
    </w:p>
    <w:p>
      <w:pPr>
        <w:pStyle w:val="ListBullet"/>
      </w:pPr>
      <w:r>
        <w:t>Scope 3 data quality — 8 of 14 categories High variance. Improvement plan with suppliers.</w:t>
      </w:r>
    </w:p>
    <w:p>
      <w:pPr>
        <w:pStyle w:val="ListBullet"/>
      </w:pPr>
      <w:r>
        <w:t>Carbon pricing — Indonesia carbon tax 2025; modelled MYR 38M annualised cost.</w:t>
      </w:r>
    </w:p>
    <w:p>
      <w:pPr>
        <w:pStyle w:val="ListBullet"/>
      </w:pPr>
      <w:r>
        <w:t>Greenwashing risk — single-source claims are inadequate; we require minimum two-source verification on every public claim.</w:t>
      </w:r>
    </w:p>
    <w:p>
      <w:pPr>
        <w:pStyle w:val="ListBullet"/>
      </w:pPr>
      <w:r>
        <w:t>Just transition — plantation workforce; reskilling programme needs MYR 240M capex by 2028.</w:t>
      </w:r>
    </w:p>
    <w:p>
      <w:pPr>
        <w:pStyle w:val="ListBullet"/>
      </w:pPr>
      <w:r>
        <w:t>Reporting fatigue — 9 frameworks, 30+ KPIs. Internal teams need automation; data architecture roadmap in flight.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