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Town Hall Q&amp;A — Prior Quarter (Q4 FY2025) Library</w:t>
      </w:r>
    </w:p>
    <w:p>
      <w:r>
        <w:t>Compiled by: Internal Communications | Town Hall date: 24 January 2026 | Speaker: CEO + Group CFO + CHRO | Format: 30-min CEO address + 25-min live Q&amp;A (Slido + floor). Questions below are anonymised. Used for prep of the next town hall.</w:t>
      </w:r>
    </w:p>
    <w:p>
      <w:pPr>
        <w:pStyle w:val="Heading1"/>
      </w:pPr>
      <w:r>
        <w:t>1. Compensation + benefits (8 questions)</w:t>
      </w:r>
    </w:p>
    <w:p>
      <w:pPr>
        <w:pStyle w:val="ListBullet"/>
      </w:pPr>
      <w:r>
        <w:t>Q: Why was last years annual increment 4% when CPI was 3.8%? — A: 4% is the median; actual increase varied 2-7% by performance + market band. Bottom band reflects role-pricing realignments.</w:t>
      </w:r>
    </w:p>
    <w:p>
      <w:pPr>
        <w:pStyle w:val="ListBullet"/>
      </w:pPr>
      <w:r>
        <w:t>Q: Are bonuses paid this year? — A: Yes. Group corporate bonus pool is 100% of target.</w:t>
      </w:r>
    </w:p>
    <w:p>
      <w:pPr>
        <w:pStyle w:val="ListBullet"/>
      </w:pPr>
      <w:r>
        <w:t>Q: When does the wellness subsidy increase? — A: Confirmed RM 1,200 from RM 800 effective 1 April 2026.</w:t>
      </w:r>
    </w:p>
    <w:p>
      <w:pPr>
        <w:pStyle w:val="ListBullet"/>
      </w:pPr>
      <w:r>
        <w:t>Q: Can we get more childcare subsidy? — A: Programme review in flight; outcome by Q3.</w:t>
      </w:r>
    </w:p>
    <w:p>
      <w:pPr>
        <w:pStyle w:val="ListBullet"/>
      </w:pPr>
      <w:r>
        <w:t>Q: Will hybrid working continue? — A: Yes, current 2 days in office minimum stays for FY2026.</w:t>
      </w:r>
    </w:p>
    <w:p>
      <w:pPr>
        <w:pStyle w:val="ListBullet"/>
      </w:pPr>
      <w:r>
        <w:t>Q: Tuition assistance for online courses? — A: Yes, RM 12,000 / year covers accredited online (Coursera Plus, LinkedIn Learning already included).</w:t>
      </w:r>
    </w:p>
    <w:p>
      <w:pPr>
        <w:pStyle w:val="ListBullet"/>
      </w:pPr>
      <w:r>
        <w:t>Q: Sabbatical eligibility lowered to 5 years? — A: Under review; no commitment yet.</w:t>
      </w:r>
    </w:p>
    <w:p>
      <w:pPr>
        <w:pStyle w:val="ListBullet"/>
      </w:pPr>
      <w:r>
        <w:t>Q: Parental leave matched between mothers + fathers? — A: Maternity 98 days vs paternity 7 days remains policy. Under review.</w:t>
      </w:r>
    </w:p>
    <w:p>
      <w:pPr>
        <w:pStyle w:val="Heading1"/>
      </w:pPr>
      <w:r>
        <w:t>2. Strategy + business performance (6 questions)</w:t>
      </w:r>
    </w:p>
    <w:p>
      <w:pPr>
        <w:pStyle w:val="ListBullet"/>
      </w:pPr>
      <w:r>
        <w:t>Q: Why is the Banking division flat? — A: Credit cycle softening; we are taking provisions early. EBITDA expected to recover H2 FY2026.</w:t>
      </w:r>
    </w:p>
    <w:p>
      <w:pPr>
        <w:pStyle w:val="ListBullet"/>
      </w:pPr>
      <w:r>
        <w:t>Q: Is Apex Banking integration on track? — A: Yes, ahead of plan. Phase 2 capital approved this quarter.</w:t>
      </w:r>
    </w:p>
    <w:p>
      <w:pPr>
        <w:pStyle w:val="ListBullet"/>
      </w:pPr>
      <w:r>
        <w:t>Q: What is the plan for the Logistics division? — A: JV with Tropika has been re-scoped; capital MYR 220M (was MYR 580M).</w:t>
      </w:r>
    </w:p>
    <w:p>
      <w:pPr>
        <w:pStyle w:val="ListBullet"/>
      </w:pPr>
      <w:r>
        <w:t>Q: Renewable energy capex — what is the timeline? — A: PPA pipeline visible to 2028; MYR 1.6B refreshed envelope.</w:t>
      </w:r>
    </w:p>
    <w:p>
      <w:pPr>
        <w:pStyle w:val="ListBullet"/>
      </w:pPr>
      <w:r>
        <w:t>Q: Will we IPO any subsidiaries? — A: Property arm IPO under exploration; nothing committed.</w:t>
      </w:r>
    </w:p>
    <w:p>
      <w:pPr>
        <w:pStyle w:val="ListBullet"/>
      </w:pPr>
      <w:r>
        <w:t>Q: AI + GenAI — will it replace jobs? — A: We are deploying AI to augment. Reskilling programme is funded for the full workforce.</w:t>
      </w:r>
    </w:p>
    <w:p>
      <w:pPr>
        <w:pStyle w:val="Heading1"/>
      </w:pPr>
      <w:r>
        <w:t>3. Culture + ways of working (5 questions)</w:t>
      </w:r>
    </w:p>
    <w:p>
      <w:pPr>
        <w:pStyle w:val="ListBullet"/>
      </w:pPr>
      <w:r>
        <w:t>Q: Too many meetings — what is being done? — A: ExCo has committed to a "Less Meetings More Doing" charter; meeting-free Wednesday afternoons piloted in 4 divisions.</w:t>
      </w:r>
    </w:p>
    <w:p>
      <w:pPr>
        <w:pStyle w:val="ListBullet"/>
      </w:pPr>
      <w:r>
        <w:t>Q: Wellbeing programme — is it real or PR? — A: 47,800 employees enrolled; 6-session annual EAP free + Tier-1 partnership.</w:t>
      </w:r>
    </w:p>
    <w:p>
      <w:pPr>
        <w:pStyle w:val="ListBullet"/>
      </w:pPr>
      <w:r>
        <w:t>Q: Diversity targets — are managers held accountable? — A: 30% of leadership compensation tied to diversity + engagement metrics from FY2026.</w:t>
      </w:r>
    </w:p>
    <w:p>
      <w:pPr>
        <w:pStyle w:val="ListBullet"/>
      </w:pPr>
      <w:r>
        <w:t>Q: Is feedback during reviews actually anonymous? — A: Yes; 360 feedback platform is operationally separate from HRIS.</w:t>
      </w:r>
    </w:p>
    <w:p>
      <w:pPr>
        <w:pStyle w:val="ListBullet"/>
      </w:pPr>
      <w:r>
        <w:t>Q: Promotion criteria — too opaque. — A: Refreshed career framework + transparent gates launching Q2 FY2026.</w:t>
      </w:r>
    </w:p>
    <w:p>
      <w:pPr>
        <w:pStyle w:val="Heading1"/>
      </w:pPr>
      <w:r>
        <w:t>4. ESG + Sustainability (4 questions)</w:t>
      </w:r>
    </w:p>
    <w:p>
      <w:pPr>
        <w:pStyle w:val="ListBullet"/>
      </w:pPr>
      <w:r>
        <w:t>Q: Are we on track for net zero? — A: -3.1% Scope 1 + -7.2% Scope 2 in FY2024. We are on the trajectory; we are not ahead.</w:t>
      </w:r>
    </w:p>
    <w:p>
      <w:pPr>
        <w:pStyle w:val="ListBullet"/>
      </w:pPr>
      <w:r>
        <w:t>Q: Palm oil + deforestation — what is our position? — A: Zero deforestation commitment + RSPO 100% by FY2028. 1 incident in FY2024 (down from 6 in 2019).</w:t>
      </w:r>
    </w:p>
    <w:p>
      <w:pPr>
        <w:pStyle w:val="ListBullet"/>
      </w:pPr>
      <w:r>
        <w:t>Q: How do you measure Scope 3? — A: Honestly, with significant variance on 8 of 14 categories. Improvement programme funded.</w:t>
      </w:r>
    </w:p>
    <w:p>
      <w:pPr>
        <w:pStyle w:val="ListBullet"/>
      </w:pPr>
      <w:r>
        <w:t>Q: Will we sign on to Race to Zero / SBTi? — A: Engagement under way; intent is yes.</w:t>
      </w:r>
    </w:p>
    <w:p>
      <w:pPr>
        <w:pStyle w:val="Heading1"/>
      </w:pPr>
      <w:r>
        <w:t>5. Tough / repeating themes</w:t>
      </w:r>
    </w:p>
    <w:p>
      <w:pPr>
        <w:pStyle w:val="ListBullet"/>
      </w:pPr>
      <w:r>
        <w:t>Frontline pay vs cost of living — surfaces every quarter; HR market study scheduled Q3.</w:t>
      </w:r>
    </w:p>
    <w:p>
      <w:pPr>
        <w:pStyle w:val="ListBullet"/>
      </w:pPr>
      <w:r>
        <w:t>Manager development — repeating ask; investment increased FY2026.</w:t>
      </w:r>
    </w:p>
    <w:p>
      <w:pPr>
        <w:pStyle w:val="ListBullet"/>
      </w:pPr>
      <w:r>
        <w:t>Decision-making speed — perception that things take too long; Strategy team is mapping decision rights.</w:t>
      </w:r>
    </w:p>
    <w:p>
      <w:pPr>
        <w:pStyle w:val="ListBullet"/>
      </w:pPr>
      <w:r>
        <w:t>Communication consistency — same message lands differently across divisions; comms playbook in refresh.</w:t>
      </w:r>
    </w:p>
    <w:p>
      <w:pPr>
        <w:pStyle w:val="Heading1"/>
      </w:pPr>
      <w:r>
        <w:t>6. Use this in the next town hall</w:t>
      </w:r>
    </w:p>
    <w:p>
      <w:r>
        <w:t>Pulse-survey themes for the upcoming Q1 FY2026 town hall (separate document) show high overlap with the above. The CEO speech and Q&amp;A speaker-notes should pre-empt the top 8 recurring themes rather than waiting to be asked.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