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240" w:lineRule="auto"/>
      </w:pPr>
      <w:r>
        <w:rPr>
          <w:b/>
          <w:color w:val="1F3864"/>
          <w:sz w:val="36"/>
        </w:rPr>
        <w:t>ZAVA REMIT ASIA SDN BHD</w:t>
      </w:r>
    </w:p>
    <w:p>
      <w:pPr>
        <w:spacing w:before="0" w:after="40" w:line="240" w:lineRule="auto"/>
      </w:pPr>
      <w:r>
        <w:rPr>
          <w:b/>
          <w:color w:val="2E74B5"/>
          <w:sz w:val="28"/>
        </w:rPr>
        <w:t>Anti-Money Laundering / Know Your Customer Compliance Policy</w:t>
      </w:r>
    </w:p>
    <w:p>
      <w:pPr>
        <w:spacing w:before="0" w:after="120" w:line="240" w:lineRule="auto"/>
      </w:pPr>
      <w:r>
        <w:rPr>
          <w:color w:val="6B7280"/>
          <w:sz w:val="18"/>
        </w:rPr>
        <w:t>Document Reference: CT-COMP-001  |  Version: 3.2  |  Effective Date: 1 April 2025  |  Review Date: 31 March 2026</w:t>
      </w:r>
    </w:p>
    <w:p>
      <w:pPr>
        <w:pStyle w:val="Heading1"/>
      </w:pPr>
      <w:r>
        <w:rPr>
          <w:color w:val="1F3864"/>
        </w:rPr>
        <w:t>1. Purpose &amp; Scope</w:t>
      </w:r>
    </w:p>
    <w:p>
      <w:pPr>
        <w:spacing w:before="0" w:after="80" w:line="240" w:lineRule="auto"/>
      </w:pPr>
      <w:r>
        <w:t>This Policy establishes the Anti-Money Laundering (AML) and Know Your Customer (KYC) framework for Zava Remit Asia Sdn Bhd ("Zava Remit Asia"), a licensed Money Services Business (MSB) operating under the supervision of Bank Negara Malaysia (BNM). This Policy is issued pursuant to the Anti-Money Laundering, Anti-Terrorism Financing and Proceeds of Unlawful Activities Act 2001 (AMLATFPUAA) and BNM's Guidelines on Anti-Money Laundering and Counter Financing of Terrorism (AML/CFT) for Money Services Business.</w:t>
      </w:r>
    </w:p>
    <w:p>
      <w:pPr>
        <w:spacing w:before="0" w:after="80" w:line="240" w:lineRule="auto"/>
      </w:pPr>
      <w:r>
        <w:t>This Policy applies to all employees, agents, contractors, and third-party service providers of Zava Remit Asia involved in the processing, approval, or monitoring of financial transactions, including remittance, foreign currency exchange, digital wallet top-ups, micro-insurance, and MVNO (HelloSIM) services.</w:t>
      </w:r>
    </w:p>
    <w:p>
      <w:pPr>
        <w:spacing w:before="0" w:after="80" w:line="240" w:lineRule="auto"/>
      </w:pPr>
      <w:r>
        <w:t>The objectives of this Policy are to: (a) prevent Zava Remit Asia from being used as a conduit for money laundering or terrorism financing; (b) ensure timely identification and reporting of suspicious transactions; (c) maintain compliance with BNM regulatory requirements; and (d) protect the integrity of Zava Remit Asia's brand and operations.</w:t>
      </w:r>
    </w:p>
    <w:p>
      <w:pPr>
        <w:pStyle w:val="Heading1"/>
      </w:pPr>
      <w:r>
        <w:rPr>
          <w:color w:val="1F3864"/>
        </w:rPr>
        <w:t>2. Customer Due Diligence (CDD)</w:t>
      </w:r>
    </w:p>
    <w:p>
      <w:pPr>
        <w:spacing w:before="0" w:after="80" w:line="240" w:lineRule="auto"/>
      </w:pPr>
      <w:r>
        <w:t>Zava Remit Asia applies a risk-based approach to Customer Due Diligence, with three tiers based on assessed customer risk profile:</w:t>
      </w:r>
    </w:p>
    <w:p>
      <w:pPr>
        <w:pStyle w:val="Heading2"/>
      </w:pPr>
      <w:r>
        <w:rPr>
          <w:color w:val="2E74B5"/>
        </w:rPr>
        <w:t>2.1 Standard CDD</w:t>
      </w:r>
    </w:p>
    <w:p>
      <w:pPr>
        <w:spacing w:before="0" w:after="80" w:line="240" w:lineRule="auto"/>
      </w:pPr>
      <w:r>
        <w:t>Applied to all new customers and applicable to transactions below MYR 3,000 (or equivalent in foreign currency). Standard CDD requires:</w:t>
      </w:r>
    </w:p>
    <w:p>
      <w:pPr>
        <w:pStyle w:val="ListBullet"/>
        <w:spacing w:before="0" w:after="60" w:line="240" w:lineRule="auto"/>
      </w:pPr>
      <w:r>
        <w:t>Full legal name (as per government-issued identification document)</w:t>
      </w:r>
    </w:p>
    <w:p>
      <w:pPr>
        <w:pStyle w:val="ListBullet"/>
        <w:spacing w:before="0" w:after="60" w:line="240" w:lineRule="auto"/>
      </w:pPr>
      <w:r>
        <w:t>NRIC / Passport number and expiry date</w:t>
      </w:r>
    </w:p>
    <w:p>
      <w:pPr>
        <w:pStyle w:val="ListBullet"/>
        <w:spacing w:before="0" w:after="60" w:line="240" w:lineRule="auto"/>
      </w:pPr>
      <w:r>
        <w:t>Nationality and country of residence</w:t>
      </w:r>
    </w:p>
    <w:p>
      <w:pPr>
        <w:pStyle w:val="ListBullet"/>
        <w:spacing w:before="0" w:after="60" w:line="240" w:lineRule="auto"/>
      </w:pPr>
      <w:r>
        <w:t>Source of funds declaration (self-declaration accepted at Standard tier)</w:t>
      </w:r>
    </w:p>
    <w:p>
      <w:pPr>
        <w:pStyle w:val="ListBullet"/>
        <w:spacing w:before="0" w:after="60" w:line="240" w:lineRule="auto"/>
      </w:pPr>
      <w:r>
        <w:t>Mobile number and/or email address for transaction notifications</w:t>
      </w:r>
    </w:p>
    <w:p>
      <w:pPr>
        <w:pStyle w:val="Heading2"/>
      </w:pPr>
      <w:r>
        <w:rPr>
          <w:color w:val="2E74B5"/>
        </w:rPr>
        <w:t>2.2 Enhanced CDD (EDD)</w:t>
      </w:r>
    </w:p>
    <w:p>
      <w:pPr>
        <w:spacing w:before="0" w:after="80" w:line="240" w:lineRule="auto"/>
      </w:pPr>
      <w:r>
        <w:t>Enhanced Due Diligence is mandatory for: (a) transactions exceeding MYR 3,000 (single) or MYR 5,000 (aggregated within 24 hours); (b) politically exposed persons (PEPs) and their associates; (c) customers with nationalities or transaction corridors flagged under BNM's high-risk jurisdiction list; and (d) customers who trigger automated AML risk scoring above the Medium threshold.</w:t>
      </w:r>
    </w:p>
    <w:p>
      <w:pPr>
        <w:spacing w:before="0" w:after="80" w:line="240" w:lineRule="auto"/>
      </w:pPr>
      <w:r>
        <w:t>EDD requirements include all Standard CDD elements plus: certified copy of identification document; proof of source of funds (payslip, bank statement, or employer letter); expected transaction frequency and purpose; and where applicable, beneficial ownership declaration.</w:t>
      </w:r>
    </w:p>
    <w:p>
      <w:pPr>
        <w:pStyle w:val="Heading2"/>
      </w:pPr>
      <w:r>
        <w:rPr>
          <w:color w:val="2E74B5"/>
        </w:rPr>
        <w:t>2.3 Simplified CDD</w:t>
      </w:r>
    </w:p>
    <w:p>
      <w:pPr>
        <w:spacing w:before="0" w:after="80" w:line="240" w:lineRule="auto"/>
      </w:pPr>
      <w:r>
        <w:t>Simplified CDD may be applied to low-risk customers conducting transactions below MYR 1,000 via the Zava Remit Asia mobile app, where the customer has been onboarded via a BNM-regulated financial institution partner and identity has been electronically verified via MyKad eKYC integration. In all cases, Simplified CDD does not waive ongoing transaction monitoring obligations.</w:t>
      </w:r>
    </w:p>
    <w:p>
      <w:pPr>
        <w:pStyle w:val="Heading1"/>
      </w:pPr>
      <w:r>
        <w:rPr>
          <w:color w:val="1F3864"/>
        </w:rPr>
        <w:t>3. Transaction Monitoring</w:t>
      </w:r>
    </w:p>
    <w:p>
      <w:pPr>
        <w:spacing w:before="0" w:after="80" w:line="240" w:lineRule="auto"/>
      </w:pPr>
      <w:r>
        <w:t>Zava Remit Asia operates an automated Transaction Monitoring System (TMS) integrated with the core remittance engine. The TMS screens all transactions in real-time against the following thresholds and typologies:</w:t>
      </w:r>
    </w:p>
    <w:p>
      <w:pPr>
        <w:pStyle w:val="ListBullet"/>
        <w:spacing w:before="0" w:after="60" w:line="240" w:lineRule="auto"/>
      </w:pPr>
      <w:r>
        <w:t>Single transaction ≥ USD 3,000 (or MYR equivalent): triggers enhanced review flag</w:t>
      </w:r>
    </w:p>
    <w:p>
      <w:pPr>
        <w:pStyle w:val="ListBullet"/>
        <w:spacing w:before="0" w:after="60" w:line="240" w:lineRule="auto"/>
      </w:pPr>
      <w:r>
        <w:t>Aggregate transactions by the same customer ≥ USD 5,000 within any 24-hour rolling period: auto-escalated to Compliance team</w:t>
      </w:r>
    </w:p>
    <w:p>
      <w:pPr>
        <w:pStyle w:val="ListBullet"/>
        <w:spacing w:before="0" w:after="60" w:line="240" w:lineRule="auto"/>
      </w:pPr>
      <w:r>
        <w:t>Transactions to or from BNM-designated high-risk jurisdictions: mandatory manual review before processing</w:t>
      </w:r>
    </w:p>
    <w:p>
      <w:pPr>
        <w:pStyle w:val="ListBullet"/>
        <w:spacing w:before="0" w:after="60" w:line="240" w:lineRule="auto"/>
      </w:pPr>
      <w:r>
        <w:t>Velocity rule: &gt;5 transactions by same customer within 60 minutes: account temporarily suspended pending review</w:t>
      </w:r>
    </w:p>
    <w:p>
      <w:pPr>
        <w:pStyle w:val="ListBullet"/>
        <w:spacing w:before="0" w:after="60" w:line="240" w:lineRule="auto"/>
      </w:pPr>
      <w:r>
        <w:t>Round-number transactions (e.g. exactly USD 1,000, 2,000, 3,000) occurring in rapid succession: flagged for structuring risk</w:t>
      </w:r>
    </w:p>
    <w:p>
      <w:pPr>
        <w:spacing w:before="0" w:after="80" w:line="240" w:lineRule="auto"/>
      </w:pPr>
      <w:r>
        <w:t>Automated TMS alerts are reviewed by the AML Operations team within 2 business hours. Alerts not resolved within 24 hours are escalated to the Compliance Manager. All TMS alert dispositions must be documented in the Compliance Case Management System.</w:t>
      </w:r>
    </w:p>
    <w:p>
      <w:pPr>
        <w:pStyle w:val="Heading1"/>
      </w:pPr>
      <w:r>
        <w:rPr>
          <w:color w:val="1F3864"/>
        </w:rPr>
        <w:t>4. Suspicious Transaction Reporting (STR)</w:t>
      </w:r>
    </w:p>
    <w:p>
      <w:pPr>
        <w:spacing w:before="0" w:after="80" w:line="240" w:lineRule="auto"/>
      </w:pPr>
      <w:r>
        <w:t>Zava Remit Asia is legally obligated under Section 14 of the AMLATFPUAA to file a Suspicious Transaction Report (STR) with the Financial Intelligence and Enforcement Department (FIED) of BNM when there are reasonable grounds to suspect that a transaction involves the proceeds of unlawful activities or is related to terrorism financing.</w:t>
      </w:r>
    </w:p>
    <w:p>
      <w:pPr>
        <w:spacing w:before="0" w:after="80" w:line="240" w:lineRule="auto"/>
      </w:pPr>
      <w:r>
        <w:t>The STR filing process is as follows:</w:t>
      </w:r>
    </w:p>
    <w:p>
      <w:pPr>
        <w:pStyle w:val="ListBullet"/>
        <w:spacing w:before="0" w:after="60" w:line="240" w:lineRule="auto"/>
      </w:pPr>
      <w:r>
        <w:t>Step 1: AML Operations team flags transaction as suspicious via the Compliance Case Management System</w:t>
      </w:r>
    </w:p>
    <w:p>
      <w:pPr>
        <w:pStyle w:val="ListBullet"/>
        <w:spacing w:before="0" w:after="60" w:line="240" w:lineRule="auto"/>
      </w:pPr>
      <w:r>
        <w:t>Step 2: Compliance Manager reviews and makes filing determination within 24 hours of initial flag</w:t>
      </w:r>
    </w:p>
    <w:p>
      <w:pPr>
        <w:pStyle w:val="ListBullet"/>
        <w:spacing w:before="0" w:after="60" w:line="240" w:lineRule="auto"/>
      </w:pPr>
      <w:r>
        <w:t>Step 3: STR submitted to BNM FIED via the goAML system within 3 business days of determination</w:t>
      </w:r>
    </w:p>
    <w:p>
      <w:pPr>
        <w:pStyle w:val="ListBullet"/>
        <w:spacing w:before="0" w:after="60" w:line="240" w:lineRule="auto"/>
      </w:pPr>
      <w:r>
        <w:t>Step 4: Case file retained for 7 years per record-keeping requirements (see Section 5)</w:t>
      </w:r>
    </w:p>
    <w:p>
      <w:pPr>
        <w:spacing w:before="0" w:after="80" w:line="240" w:lineRule="auto"/>
      </w:pPr>
      <w:r>
        <w:t>The tipping-off prohibition under Section 25 of the AMLATFPUAA strictly applies: no employee may disclose to the customer or any third party that an STR has been filed or is being considered. Violation of this provision is a criminal offence.</w:t>
      </w:r>
    </w:p>
    <w:p>
      <w:pPr>
        <w:pStyle w:val="Heading1"/>
      </w:pPr>
      <w:r>
        <w:rPr>
          <w:color w:val="1F3864"/>
        </w:rPr>
        <w:t>5. Record Keeping</w:t>
      </w:r>
    </w:p>
    <w:p>
      <w:pPr>
        <w:spacing w:before="0" w:after="80" w:line="240" w:lineRule="auto"/>
      </w:pPr>
      <w:r>
        <w:t>Zava Remit Asia maintains all customer identification documents, transaction records, AML alert dispositions, and STR case files for a minimum of 7 years from the date of transaction or the end of the business relationship, whichever is later. This is consistent with Section 17 of the AMLATFPUAA.</w:t>
      </w:r>
    </w:p>
    <w:p>
      <w:pPr>
        <w:spacing w:before="0" w:after="80" w:line="240" w:lineRule="auto"/>
      </w:pPr>
      <w:r>
        <w:t>Records must be stored in a format that: (a) is readily retrievable for regulatory inspection within 2 business days of a BNM request; (b) preserves the integrity and authenticity of the original document; and (c) is protected against unauthorised access, modification, or destruction. The primary record storage system is the Zava Remit Asia Compliance Data Repository, hosted on Microsoft Azure with data residency in Malaysia.</w:t>
      </w:r>
    </w:p>
    <w:p>
      <w:pPr>
        <w:pStyle w:val="Heading1"/>
      </w:pPr>
      <w:r>
        <w:rPr>
          <w:color w:val="1F3864"/>
        </w:rPr>
        <w:t>6. Staff Training &amp; Accountability</w:t>
      </w:r>
    </w:p>
    <w:p>
      <w:pPr>
        <w:spacing w:before="0" w:after="80" w:line="240" w:lineRule="auto"/>
      </w:pPr>
      <w:r>
        <w:t>All Zava Remit Asia employees who handle customer transactions, process remittances, or have access to the Compliance Case Management System must complete BNM-accredited AML/CFT training within 30 days of joining and annually thereafter. Completion is tracked by the HR system and reported to the Board Audit &amp; Risk Committee quarterly.</w:t>
      </w:r>
    </w:p>
    <w:p>
      <w:pPr>
        <w:spacing w:before="0" w:after="80" w:line="240" w:lineRule="auto"/>
      </w:pPr>
      <w:r>
        <w:t>The Chief Compliance Officer (CCO) is accountable for the implementation and ongoing effectiveness of this Policy. The CCO reports directly to the Board Audit &amp; Risk Committee and holds ultimate responsibility for BNM compliance.</w:t>
      </w:r>
    </w:p>
    <w:p>
      <w:pPr>
        <w:pStyle w:val="Heading1"/>
      </w:pPr>
      <w:r>
        <w:rPr>
          <w:color w:val="1F3864"/>
        </w:rPr>
        <w:t>7. Periodic Review</w:t>
      </w:r>
    </w:p>
    <w:p>
      <w:pPr>
        <w:spacing w:before="0" w:after="80" w:line="240" w:lineRule="auto"/>
      </w:pPr>
      <w:r>
        <w:t>This Policy shall be reviewed annually or upon any material change in BNM regulation, business model, or risk profile. The CCO must present the review findings and any proposed amendments to the Board Audit &amp; Risk Committee for approval before implementation.</w:t>
      </w:r>
    </w:p>
    <w:p>
      <w:pPr>
        <w:spacing w:before="0" w:after="80" w:line="240" w:lineRule="auto"/>
      </w:pPr>
      <w:r>
        <w:t>Any questions regarding the interpretation or application of this Policy should be directed to compliance@zava remittrade.my.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