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line="240" w:lineRule="auto"/>
      </w:pPr>
      <w:r>
        <w:rPr>
          <w:b/>
          <w:color w:val="1F3864"/>
          <w:sz w:val="32"/>
        </w:rPr>
        <w:t>ZAVA REMIT ASIA — TECHNOLOGY INTEGRATION &amp; STANDARDS PLAYBOOK</w:t>
      </w:r>
    </w:p>
    <w:p>
      <w:pPr>
        <w:spacing w:before="0" w:after="120" w:line="240" w:lineRule="auto"/>
      </w:pPr>
      <w:r>
        <w:rPr>
          <w:color w:val="6B7280"/>
          <w:sz w:val="20"/>
        </w:rPr>
        <w:t>For Engineering, Product &amp; Operations Teams  |  FY2026 Edition</w:t>
      </w:r>
    </w:p>
    <w:p>
      <w:pPr>
        <w:pStyle w:val="Heading1"/>
      </w:pPr>
      <w:r>
        <w:rPr>
          <w:color w:val="1F3864"/>
        </w:rPr>
        <w:t>1. Technology Vision &amp; Principles</w:t>
      </w:r>
    </w:p>
    <w:p>
      <w:pPr>
        <w:spacing w:before="0" w:after="80" w:line="240" w:lineRule="auto"/>
      </w:pPr>
      <w:r>
        <w:t>Zava Remit Asia's technology strategy is built on four foundational principles that govern all engineering and architecture decisions:</w:t>
      </w:r>
    </w:p>
    <w:p>
      <w:pPr>
        <w:pStyle w:val="ListBullet"/>
        <w:spacing w:before="0" w:after="60" w:line="240" w:lineRule="auto"/>
      </w:pPr>
      <w:r>
        <w:t>API-First: Every capability is built as an API before it is built as a UI. Internal systems consume the same APIs as external partners. This enables modular growth, partner integrations, and future product extensibility without re-architecture.</w:t>
      </w:r>
    </w:p>
    <w:p>
      <w:pPr>
        <w:pStyle w:val="ListBullet"/>
        <w:spacing w:before="0" w:after="60" w:line="240" w:lineRule="auto"/>
      </w:pPr>
      <w:r>
        <w:t>Cloud-Native: All new systems are designed for deployment on Microsoft Azure. We use managed services wherever possible to reduce operational overhead and accelerate delivery. On-premises infrastructure is reserved for data that must remain on-site under BNM data residency requirements.</w:t>
      </w:r>
    </w:p>
    <w:p>
      <w:pPr>
        <w:pStyle w:val="ListBullet"/>
        <w:spacing w:before="0" w:after="60" w:line="240" w:lineRule="auto"/>
      </w:pPr>
      <w:r>
        <w:t>Security by Design: Security controls are embedded at the design phase, not added post-deployment. Every system must complete a threat model review before entering production. We follow the Zero Trust principle — no implicit trust, even within the internal network.</w:t>
      </w:r>
    </w:p>
    <w:p>
      <w:pPr>
        <w:pStyle w:val="ListBullet"/>
        <w:spacing w:before="0" w:after="60" w:line="240" w:lineRule="auto"/>
      </w:pPr>
      <w:r>
        <w:t>Data as a Product: Data is treated as a first-class asset. Every system exposes clean, documented data contracts. The Analytics Platform is the single source of truth for all business intelligence and regulatory reporting.</w:t>
      </w:r>
    </w:p>
    <w:p>
      <w:pPr>
        <w:pStyle w:val="Heading1"/>
      </w:pPr>
      <w:r>
        <w:rPr>
          <w:color w:val="1F3864"/>
        </w:rPr>
        <w:t>2. Integration Standards</w:t>
      </w:r>
    </w:p>
    <w:p>
      <w:pPr>
        <w:pStyle w:val="Heading2"/>
      </w:pPr>
      <w:r>
        <w:rPr>
          <w:color w:val="2E74B5"/>
        </w:rPr>
        <w:t>2.1 API Design</w:t>
      </w:r>
    </w:p>
    <w:p>
      <w:pPr>
        <w:spacing w:before="0" w:after="80" w:line="240" w:lineRule="auto"/>
      </w:pPr>
      <w:r>
        <w:t>All Zava Remit Asia APIs must conform to the following standards:</w:t>
      </w:r>
    </w:p>
    <w:p>
      <w:pPr>
        <w:pStyle w:val="ListBullet"/>
        <w:spacing w:before="0" w:after="60" w:line="240" w:lineRule="auto"/>
      </w:pPr>
      <w:r>
        <w:t>Protocol: RESTful HTTP/S over TLS 1.3 minimum. gRPC permitted for high-throughput internal services only.</w:t>
      </w:r>
    </w:p>
    <w:p>
      <w:pPr>
        <w:pStyle w:val="ListBullet"/>
        <w:spacing w:before="0" w:after="60" w:line="240" w:lineRule="auto"/>
      </w:pPr>
      <w:r>
        <w:t>Authentication: OAuth 2.0 with PKCE for all external-facing APIs. Service-to-service calls use client credentials flow with short-lived tokens (15-minute expiry).</w:t>
      </w:r>
    </w:p>
    <w:p>
      <w:pPr>
        <w:pStyle w:val="ListBullet"/>
        <w:spacing w:before="0" w:after="60" w:line="240" w:lineRule="auto"/>
      </w:pPr>
      <w:r>
        <w:t>Versioning: URI versioning (/v1/, /v2/). Breaking changes require a new major version. Deprecated versions are supported for 12 months with 90-day advance notice to partners.</w:t>
      </w:r>
    </w:p>
    <w:p>
      <w:pPr>
        <w:pStyle w:val="ListBullet"/>
        <w:spacing w:before="0" w:after="60" w:line="240" w:lineRule="auto"/>
      </w:pPr>
      <w:r>
        <w:t>Rate Limits: Default 1,000 requests/minute per API key. Remittance engine endpoints: 200 requests/minute. Partner-specific limits negotiated in SLA schedules.</w:t>
      </w:r>
    </w:p>
    <w:p>
      <w:pPr>
        <w:pStyle w:val="ListBullet"/>
        <w:spacing w:before="0" w:after="60" w:line="240" w:lineRule="auto"/>
      </w:pPr>
      <w:r>
        <w:t>Response Format: JSON only. ISO 8601 for all dates and timestamps. Amounts in the currency's smallest unit (e.g. sen for MYR, cents for USD) with the currency code as a separate field.</w:t>
      </w:r>
    </w:p>
    <w:p>
      <w:pPr>
        <w:pStyle w:val="Heading2"/>
      </w:pPr>
      <w:r>
        <w:rPr>
          <w:color w:val="2E74B5"/>
        </w:rPr>
        <w:t>2.2 Partner Integration Onboarding</w:t>
      </w:r>
    </w:p>
    <w:p>
      <w:pPr>
        <w:spacing w:before="0" w:after="80" w:line="240" w:lineRule="auto"/>
      </w:pPr>
      <w:r>
        <w:t>Third-party partners requesting API access must complete the Partner Integration Checklist, including: sandbox testing (minimum 2 weeks), security questionnaire, data processing agreement, and rate limit negotiation. The Engineering Lead signs off on production access.</w:t>
      </w:r>
    </w:p>
    <w:p>
      <w:pPr>
        <w:pStyle w:val="Heading1"/>
      </w:pPr>
      <w:r>
        <w:rPr>
          <w:color w:val="1F3864"/>
        </w:rPr>
        <w:t>3. Core Systems Overview</w:t>
      </w:r>
    </w:p>
    <w:p>
      <w:pPr>
        <w:pStyle w:val="Heading2"/>
      </w:pPr>
      <w:r>
        <w:rPr>
          <w:color w:val="2E74B5"/>
        </w:rPr>
        <w:t>3.1 Remittance Engine</w:t>
      </w:r>
    </w:p>
    <w:p>
      <w:pPr>
        <w:spacing w:before="0" w:after="80" w:line="240" w:lineRule="auto"/>
      </w:pPr>
      <w:r>
        <w:t>The Remittance Engine is the core transaction processing system. It handles FX rate application, fee calculation, compliance checks (TMS integration), partner routing, and settlement. It exposes the /v2/remittance/ API family. SLA: 99.9% uptime, &lt;2s transaction processing latency at P99.</w:t>
      </w:r>
    </w:p>
    <w:p>
      <w:pPr>
        <w:pStyle w:val="Heading2"/>
      </w:pPr>
      <w:r>
        <w:rPr>
          <w:color w:val="2E74B5"/>
        </w:rPr>
        <w:t>3.2 FX Rate Feed</w:t>
      </w:r>
    </w:p>
    <w:p>
      <w:pPr>
        <w:spacing w:before="0" w:after="80" w:line="240" w:lineRule="auto"/>
      </w:pPr>
      <w:r>
        <w:t>Real-time FX rates are sourced from two primary market data providers with automatic failover. Rates are refreshed every 30 seconds during market hours. The FX Rate Feed service exposes rates to the Remittance Engine, Mobile App Backend, and Agent Portal. Rate locking for customer transactions is valid for 60 seconds.</w:t>
      </w:r>
    </w:p>
    <w:p>
      <w:pPr>
        <w:pStyle w:val="Heading2"/>
      </w:pPr>
      <w:r>
        <w:rPr>
          <w:color w:val="2E74B5"/>
        </w:rPr>
        <w:t>3.3 KYC / AML Engine</w:t>
      </w:r>
    </w:p>
    <w:p>
      <w:pPr>
        <w:spacing w:before="0" w:after="80" w:line="240" w:lineRule="auto"/>
      </w:pPr>
      <w:r>
        <w:t>The KYC/AML Engine integrates the eKYC provider (MyKad OCR + liveness detection), sanctions screening (OFAC, UN, BNM lists), and the Transaction Monitoring System. All customer onboarding flows route through this engine. The auto-approval target is ≥90% of standard-tier customers.</w:t>
      </w:r>
    </w:p>
    <w:p>
      <w:pPr>
        <w:pStyle w:val="Heading2"/>
      </w:pPr>
      <w:r>
        <w:rPr>
          <w:color w:val="2E74B5"/>
        </w:rPr>
        <w:t>3.4 Mobile App Backend</w:t>
      </w:r>
    </w:p>
    <w:p>
      <w:pPr>
        <w:spacing w:before="0" w:after="80" w:line="240" w:lineRule="auto"/>
      </w:pPr>
      <w:r>
        <w:t>The Mobile App Backend serves the Zava Remit Asia consumer app (iOS and Android) and HelloSIM account management. It is built on Azure App Service with auto-scaling. Push notifications are delivered via Azure Notification Hubs. The backend exposes the /v2/mobile/ API family.</w:t>
      </w:r>
    </w:p>
    <w:p>
      <w:pPr>
        <w:pStyle w:val="Heading2"/>
      </w:pPr>
      <w:r>
        <w:rPr>
          <w:color w:val="2E74B5"/>
        </w:rPr>
        <w:t>3.5 Agent Portal</w:t>
      </w:r>
    </w:p>
    <w:p>
      <w:pPr>
        <w:spacing w:before="0" w:after="80" w:line="240" w:lineRule="auto"/>
      </w:pPr>
      <w:r>
        <w:t>The Agent Portal is a web application used by Zava Remit Asia's 1,000+ registered agents across Malaysia to process over-the-counter remittances and FX transactions. It integrates with the Remittance Engine and KYC/AML Engine. The portal is built on React with a Node.js BFF layer.</w:t>
      </w:r>
    </w:p>
    <w:p>
      <w:pPr>
        <w:pStyle w:val="Heading1"/>
      </w:pPr>
      <w:r>
        <w:rPr>
          <w:color w:val="1F3864"/>
        </w:rPr>
        <w:t>4. Security &amp; Compliance Requirements</w:t>
      </w:r>
    </w:p>
    <w:p>
      <w:pPr>
        <w:pStyle w:val="ListBullet"/>
        <w:spacing w:before="0" w:after="60" w:line="240" w:lineRule="auto"/>
      </w:pPr>
      <w:r>
        <w:t>Encryption: AES-256 for data at rest; TLS 1.3 for data in transit. No unencrypted storage of customer PII permitted in any system, including development environments.</w:t>
      </w:r>
    </w:p>
    <w:p>
      <w:pPr>
        <w:pStyle w:val="ListBullet"/>
        <w:spacing w:before="0" w:after="60" w:line="240" w:lineRule="auto"/>
      </w:pPr>
      <w:r>
        <w:t>Data Residency: All customer PII and transaction data must reside in Azure Malaysia region (East Asia / Southeast Asia). Cross-border data transfers require CCO and Legal approval.</w:t>
      </w:r>
    </w:p>
    <w:p>
      <w:pPr>
        <w:pStyle w:val="ListBullet"/>
        <w:spacing w:before="0" w:after="60" w:line="240" w:lineRule="auto"/>
      </w:pPr>
      <w:r>
        <w:t>Penetration Testing: Full-scope penetration test conducted by an approved third-party vendor every 6 months. Critical and High findings must be remediated within 30 days. Medium findings within 90 days.</w:t>
      </w:r>
    </w:p>
    <w:p>
      <w:pPr>
        <w:pStyle w:val="ListBullet"/>
        <w:spacing w:before="0" w:after="60" w:line="240" w:lineRule="auto"/>
      </w:pPr>
      <w:r>
        <w:t>DAST/SAST: Automated security scanning (Checkmarx + OWASP ZAP) is integrated into the CI/CD pipeline. No deployment to production if Critical or High vulnerabilities are detected.</w:t>
      </w:r>
    </w:p>
    <w:p>
      <w:pPr>
        <w:pStyle w:val="ListBullet"/>
        <w:spacing w:before="0" w:after="60" w:line="240" w:lineRule="auto"/>
      </w:pPr>
      <w:r>
        <w:t>Access Control: Role-Based Access Control (RBAC) across all systems. Privileged access (production environment) requires MFA and is logged and reviewed monthly by the CISO.</w:t>
      </w:r>
    </w:p>
    <w:p>
      <w:pPr>
        <w:pStyle w:val="Heading1"/>
      </w:pPr>
      <w:r>
        <w:rPr>
          <w:color w:val="1F3864"/>
        </w:rPr>
        <w:t>5. Incident Response &amp; SLAs</w:t>
      </w:r>
    </w:p>
    <w:p>
      <w:pPr>
        <w:spacing w:before="0" w:after="80" w:line="240" w:lineRule="auto"/>
      </w:pPr>
      <w:r>
        <w:t>All production incidents are classified and responded to as follows:</w:t>
      </w:r>
    </w:p>
    <w:p>
      <w:pPr>
        <w:pStyle w:val="ListBullet"/>
        <w:spacing w:before="0" w:after="60" w:line="240" w:lineRule="auto"/>
      </w:pPr>
      <w:r>
        <w:t>P1 — Critical: Complete service outage or data breach. Response: 15 minutes. Resolution target: 4 hours. Communication: every 30 minutes to CEO, CTO, CCO.</w:t>
      </w:r>
    </w:p>
    <w:p>
      <w:pPr>
        <w:pStyle w:val="ListBullet"/>
        <w:spacing w:before="0" w:after="60" w:line="240" w:lineRule="auto"/>
      </w:pPr>
      <w:r>
        <w:t>P2 — High: Significant degradation affecting &gt;20% of transactions or a specific partner integration. Response: 30 minutes. Resolution target: 8 hours.</w:t>
      </w:r>
    </w:p>
    <w:p>
      <w:pPr>
        <w:pStyle w:val="ListBullet"/>
        <w:spacing w:before="0" w:after="60" w:line="240" w:lineRule="auto"/>
      </w:pPr>
      <w:r>
        <w:t>P3 — Medium: Partial degradation with workaround available. Response: 2 business hours. Resolution target: 2 business days.</w:t>
      </w:r>
    </w:p>
    <w:p>
      <w:pPr>
        <w:spacing w:before="0" w:after="80" w:line="240" w:lineRule="auto"/>
      </w:pPr>
      <w:r>
        <w:t>Post-incident reviews (PIRs) are mandatory for all P1 and P2 incidents. PIR must be completed within 5 business days and shared with the CTO and relevant stakeholders.</w:t>
      </w:r>
    </w:p>
    <w:p>
      <w:pPr>
        <w:pStyle w:val="Heading1"/>
      </w:pPr>
      <w:r>
        <w:rPr>
          <w:color w:val="1F3864"/>
        </w:rPr>
        <w:t>6. Technology Roadmap FY2026–2027</w:t>
      </w:r>
    </w:p>
    <w:p>
      <w:pPr>
        <w:pStyle w:val="Heading2"/>
      </w:pPr>
      <w:r>
        <w:rPr>
          <w:color w:val="2E74B5"/>
        </w:rPr>
        <w:t>6.1 API Marketplace (Q2 FY2026)</w:t>
      </w:r>
    </w:p>
    <w:p>
      <w:pPr>
        <w:spacing w:before="0" w:after="80" w:line="240" w:lineRule="auto"/>
      </w:pPr>
      <w:r>
        <w:t>Launch a self-serve API marketplace enabling fintech partners to discover, subscribe to, and integrate Zava Remit Asia's remittance and FX APIs without manual onboarding. Expected to unlock 15+ new B2B corridors and generate API revenue from partner integrations.</w:t>
      </w:r>
    </w:p>
    <w:p>
      <w:pPr>
        <w:pStyle w:val="Heading2"/>
      </w:pPr>
      <w:r>
        <w:rPr>
          <w:color w:val="2E74B5"/>
        </w:rPr>
        <w:t>6.2 AI Fraud Detection (Q2–Q3 FY2026)</w:t>
      </w:r>
    </w:p>
    <w:p>
      <w:pPr>
        <w:spacing w:before="0" w:after="80" w:line="240" w:lineRule="auto"/>
      </w:pPr>
      <w:r>
        <w:t>Deploy the AI Fraud Detection Engine using a gradient-boosted ML model trained on 3 years of transaction data. Target: fraud detection rate ≥97%, false positive rate &lt;1.5%. The model will run in shadow mode for 60 days before replacing the rules-based system.</w:t>
      </w:r>
    </w:p>
    <w:p>
      <w:pPr>
        <w:pStyle w:val="Heading2"/>
      </w:pPr>
      <w:r>
        <w:rPr>
          <w:color w:val="2E74B5"/>
        </w:rPr>
        <w:t>6.3 Real-Time FX &amp; Cross-Border Settlements (Q3 FY2026)</w:t>
      </w:r>
    </w:p>
    <w:p>
      <w:pPr>
        <w:spacing w:before="0" w:after="80" w:line="240" w:lineRule="auto"/>
      </w:pPr>
      <w:r>
        <w:t>Upgrade the FX Rate Feed to sub-second refresh and integrate with Malaysia's Real-time Retail Payments Platform (RPP) for instant settlement on MY→SG and MY→TH corridors. Expected to reduce settlement float by 40%.</w:t>
      </w:r>
    </w:p>
    <w:p>
      <w:pPr>
        <w:pStyle w:val="Heading2"/>
      </w:pPr>
      <w:r>
        <w:rPr>
          <w:color w:val="2E74B5"/>
        </w:rPr>
        <w:t>6.4 BaaS Integration (Q4 FY2026–Q1 FY2027)</w:t>
      </w:r>
    </w:p>
    <w:p>
      <w:pPr>
        <w:spacing w:before="0" w:after="80" w:line="240" w:lineRule="auto"/>
      </w:pPr>
      <w:r>
        <w:t>Integrate with a Banking-as-a-Service (BaaS) provider to enable Zava Remit Asia to offer virtual accounts and multi-currency wallets to migrant worker customers, reducing dependency on cash-out agent networks for last-mile delivery in Indonesia and Bangladesh.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