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BNK 02 Regulatory Reporting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BNK_02_Regulatory_Reporting_Pack.docx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(BNK 02 Regulatory Reporting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45.2</w:t>
            </w:r>
          </w:p>
        </w:tc>
        <w:tc>
          <w:tcPr>
            <w:tcW w:type="dxa" w:w="1728"/>
          </w:tcPr>
          <w:p>
            <w:r>
              <w:rPr>
                <w:sz w:val="18"/>
              </w:rPr>
              <w:t>46.6</w:t>
            </w:r>
          </w:p>
        </w:tc>
        <w:tc>
          <w:tcPr>
            <w:tcW w:type="dxa" w:w="1728"/>
          </w:tcPr>
          <w:p>
            <w:r>
              <w:rPr>
                <w:sz w:val="18"/>
              </w:rPr>
              <w:t>13.2</w:t>
            </w:r>
          </w:p>
        </w:tc>
        <w:tc>
          <w:tcPr>
            <w:tcW w:type="dxa" w:w="1728"/>
          </w:tcPr>
          <w:p>
            <w:r>
              <w:rPr>
                <w:sz w:val="18"/>
              </w:rPr>
              <w:t>On track</w:t>
            </w:r>
          </w:p>
        </w:tc>
      </w:tr>
      <w:tr>
        <w:tc>
          <w:tcPr>
            <w:tcW w:type="dxa" w:w="1728"/>
          </w:tcPr>
          <w:p>
            <w:r>
              <w:rPr>
                <w:sz w:val="18"/>
              </w:rPr>
              <w:t>Group EBITDA (MYR B)</w:t>
            </w:r>
          </w:p>
        </w:tc>
        <w:tc>
          <w:tcPr>
            <w:tcW w:type="dxa" w:w="1728"/>
          </w:tcPr>
          <w:p>
            <w:r>
              <w:rPr>
                <w:sz w:val="18"/>
              </w:rPr>
              <w:t>9.6</w:t>
            </w:r>
          </w:p>
        </w:tc>
        <w:tc>
          <w:tcPr>
            <w:tcW w:type="dxa" w:w="1728"/>
          </w:tcPr>
          <w:p>
            <w:r>
              <w:rPr>
                <w:sz w:val="18"/>
              </w:rPr>
              <w:t>9.4</w:t>
            </w:r>
          </w:p>
        </w:tc>
        <w:tc>
          <w:tcPr>
            <w:tcW w:type="dxa" w:w="1728"/>
          </w:tcPr>
          <w:p>
            <w:r>
              <w:rPr>
                <w:sz w:val="18"/>
              </w:rPr>
              <w:t>1.6</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18.8</w:t>
            </w:r>
          </w:p>
        </w:tc>
        <w:tc>
          <w:tcPr>
            <w:tcW w:type="dxa" w:w="1728"/>
          </w:tcPr>
          <w:p>
            <w:r>
              <w:rPr>
                <w:sz w:val="18"/>
              </w:rPr>
              <w:t>20.4</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6.4</w:t>
            </w:r>
          </w:p>
        </w:tc>
        <w:tc>
          <w:tcPr>
            <w:tcW w:type="dxa" w:w="1728"/>
          </w:tcPr>
          <w:p>
            <w:r>
              <w:rPr>
                <w:sz w:val="18"/>
              </w:rPr>
              <w:t>1.3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