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Board Risk Committee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09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Board_Risk_Committee_Brief.docx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(Board Risk Committee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45.2</w:t>
            </w:r>
          </w:p>
        </w:tc>
        <w:tc>
          <w:tcPr>
            <w:tcW w:type="dxa" w:w="1728"/>
          </w:tcPr>
          <w:p>
            <w:r>
              <w:rPr>
                <w:sz w:val="18"/>
              </w:rPr>
              <w:t>47.6</w:t>
            </w:r>
          </w:p>
        </w:tc>
        <w:tc>
          <w:tcPr>
            <w:tcW w:type="dxa" w:w="1728"/>
          </w:tcPr>
          <w:p>
            <w:r>
              <w:rPr>
                <w:sz w:val="18"/>
              </w:rPr>
              <w:t>11.1</w:t>
            </w:r>
          </w:p>
        </w:tc>
        <w:tc>
          <w:tcPr>
            <w:tcW w:type="dxa" w:w="1728"/>
          </w:tcPr>
          <w:p>
            <w:r>
              <w:rPr>
                <w:sz w:val="18"/>
              </w:rPr>
              <w:t>On track</w:t>
            </w:r>
          </w:p>
        </w:tc>
      </w:tr>
      <w:tr>
        <w:tc>
          <w:tcPr>
            <w:tcW w:type="dxa" w:w="1728"/>
          </w:tcPr>
          <w:p>
            <w:r>
              <w:rPr>
                <w:sz w:val="18"/>
              </w:rPr>
              <w:t>Group EBITDA (MYR B)</w:t>
            </w:r>
          </w:p>
        </w:tc>
        <w:tc>
          <w:tcPr>
            <w:tcW w:type="dxa" w:w="1728"/>
          </w:tcPr>
          <w:p>
            <w:r>
              <w:rPr>
                <w:sz w:val="18"/>
              </w:rPr>
              <w:t>9.8</w:t>
            </w:r>
          </w:p>
        </w:tc>
        <w:tc>
          <w:tcPr>
            <w:tcW w:type="dxa" w:w="1728"/>
          </w:tcPr>
          <w:p>
            <w:r>
              <w:rPr>
                <w:sz w:val="18"/>
              </w:rPr>
              <w:t>8.1</w:t>
            </w:r>
          </w:p>
        </w:tc>
        <w:tc>
          <w:tcPr>
            <w:tcW w:type="dxa" w:w="1728"/>
          </w:tcPr>
          <w:p>
            <w:r>
              <w:rPr>
                <w:sz w:val="18"/>
              </w:rPr>
              <w:t>1.3</w:t>
            </w:r>
          </w:p>
        </w:tc>
        <w:tc>
          <w:tcPr>
            <w:tcW w:type="dxa" w:w="1728"/>
          </w:tcPr>
          <w:p>
            <w:r>
              <w:rPr>
                <w:sz w:val="18"/>
              </w:rPr>
              <w:t>Ahead</w:t>
            </w:r>
          </w:p>
        </w:tc>
      </w:tr>
      <w:tr>
        <w:tc>
          <w:tcPr>
            <w:tcW w:type="dxa" w:w="1728"/>
          </w:tcPr>
          <w:p>
            <w:r>
              <w:rPr>
                <w:sz w:val="18"/>
              </w:rPr>
              <w:t>EBITDA margin %</w:t>
            </w:r>
          </w:p>
        </w:tc>
        <w:tc>
          <w:tcPr>
            <w:tcW w:type="dxa" w:w="1728"/>
          </w:tcPr>
          <w:p>
            <w:r>
              <w:rPr>
                <w:sz w:val="18"/>
              </w:rPr>
              <w:t>18.4</w:t>
            </w:r>
          </w:p>
        </w:tc>
        <w:tc>
          <w:tcPr>
            <w:tcW w:type="dxa" w:w="1728"/>
          </w:tcPr>
          <w:p>
            <w:r>
              <w:rPr>
                <w:sz w:val="18"/>
              </w:rPr>
              <w:t>20.1</w:t>
            </w:r>
          </w:p>
        </w:tc>
        <w:tc>
          <w:tcPr>
            <w:tcW w:type="dxa" w:w="1728"/>
          </w:tcPr>
          <w:p>
            <w:r>
              <w:rPr>
                <w:sz w:val="18"/>
              </w:rPr>
              <w:t>21.4</w:t>
            </w:r>
          </w:p>
        </w:tc>
        <w:tc>
          <w:tcPr>
            <w:tcW w:type="dxa" w:w="1728"/>
          </w:tcPr>
          <w:p>
            <w:r>
              <w:rPr>
                <w:sz w:val="18"/>
              </w:rPr>
              <w:t>Ahead</w:t>
            </w:r>
          </w:p>
        </w:tc>
      </w:tr>
      <w:tr>
        <w:tc>
          <w:tcPr>
            <w:tcW w:type="dxa" w:w="1728"/>
          </w:tcPr>
          <w:p>
            <w:r>
              <w:rPr>
                <w:sz w:val="18"/>
              </w:rPr>
              <w:t>Free Cash Flow (MYR B)</w:t>
            </w:r>
          </w:p>
        </w:tc>
        <w:tc>
          <w:tcPr>
            <w:tcW w:type="dxa" w:w="1728"/>
          </w:tcPr>
          <w:p>
            <w:r>
              <w:rPr>
                <w:sz w:val="18"/>
              </w:rPr>
              <w:t>5.5</w:t>
            </w:r>
          </w:p>
        </w:tc>
        <w:tc>
          <w:tcPr>
            <w:tcW w:type="dxa" w:w="1728"/>
          </w:tcPr>
          <w:p>
            <w:r>
              <w:rPr>
                <w:sz w:val="18"/>
              </w:rPr>
              <w:t>6.8</w:t>
            </w:r>
          </w:p>
        </w:tc>
        <w:tc>
          <w:tcPr>
            <w:tcW w:type="dxa" w:w="1728"/>
          </w:tcPr>
          <w:p>
            <w:r>
              <w:rPr>
                <w:sz w:val="18"/>
              </w:rPr>
              <w:t>1.8</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