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Kebijakan Kredit</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Briefing_Reset_Kebijakan_Kredit.docx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Kebijakan Kredit).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44.9</w:t>
            </w:r>
          </w:p>
        </w:tc>
        <w:tc>
          <w:tcPr>
            <w:tcW w:type="dxa" w:w="1728"/>
          </w:tcPr>
          <w:p>
            <w:r>
              <w:rPr>
                <w:sz w:val="18"/>
              </w:rPr>
              <w:t>45.8</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9.1</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19.4</w:t>
            </w:r>
          </w:p>
        </w:tc>
        <w:tc>
          <w:tcPr>
            <w:tcW w:type="dxa" w:w="1728"/>
          </w:tcPr>
          <w:p>
            <w:r>
              <w:rPr>
                <w:sz w:val="18"/>
              </w:rPr>
              <w:t>18.5</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5.3</w:t>
            </w:r>
          </w:p>
        </w:tc>
        <w:tc>
          <w:tcPr>
            <w:tcW w:type="dxa" w:w="1728"/>
          </w:tcPr>
          <w:p>
            <w:r>
              <w:rPr>
                <w:sz w:val="18"/>
              </w:rPr>
              <w:t>6.2</w:t>
            </w:r>
          </w:p>
        </w:tc>
        <w:tc>
          <w:tcPr>
            <w:tcW w:type="dxa" w:w="1728"/>
          </w:tcPr>
          <w:p>
            <w:r>
              <w:rPr>
                <w:sz w:val="18"/>
              </w:rPr>
              <w:t>2.4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