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Kebijakan Syariah</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Briefing_Reset_Kebijakan_Syariah.docx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Kebijakan Syariah).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42.9</w:t>
            </w:r>
          </w:p>
        </w:tc>
        <w:tc>
          <w:tcPr>
            <w:tcW w:type="dxa" w:w="1728"/>
          </w:tcPr>
          <w:p>
            <w:r>
              <w:rPr>
                <w:sz w:val="18"/>
              </w:rPr>
              <w:t>45.1</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8.5</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18.3</w:t>
            </w:r>
          </w:p>
        </w:tc>
        <w:tc>
          <w:tcPr>
            <w:tcW w:type="dxa" w:w="1728"/>
          </w:tcPr>
          <w:p>
            <w:r>
              <w:rPr>
                <w:sz w:val="18"/>
              </w:rPr>
              <w:t>19.8</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4.8</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