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Q4</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Briefing_Reset_Q4.docx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Q4).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43.6</w:t>
            </w:r>
          </w:p>
        </w:tc>
        <w:tc>
          <w:tcPr>
            <w:tcW w:type="dxa" w:w="1728"/>
          </w:tcPr>
          <w:p>
            <w:r>
              <w:rPr>
                <w:sz w:val="18"/>
              </w:rPr>
              <w:t>47.8</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8.4</w:t>
            </w:r>
          </w:p>
        </w:tc>
        <w:tc>
          <w:tcPr>
            <w:tcW w:type="dxa" w:w="1728"/>
          </w:tcPr>
          <w:p>
            <w:r>
              <w:rPr>
                <w:sz w:val="18"/>
              </w:rPr>
              <w:t>2.8</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18.8</w:t>
            </w:r>
          </w:p>
        </w:tc>
        <w:tc>
          <w:tcPr>
            <w:tcW w:type="dxa" w:w="1728"/>
          </w:tcPr>
          <w:p>
            <w:r>
              <w:rPr>
                <w:sz w:val="18"/>
              </w:rPr>
              <w:t>19.9</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6.9</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