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CEO Report</w:t>
      </w:r>
    </w:p>
    <w:p>
      <w:pPr>
        <w:spacing w:after="200"/>
      </w:pPr>
      <w:r>
        <w:rPr>
          <w:i/>
          <w:color w:val="4B5B7C"/>
          <w:sz w:val="22"/>
        </w:rPr>
        <w:t>Report · Internal Distribution</w:t>
      </w:r>
    </w:p>
    <w:p>
      <w:pPr>
        <w:spacing w:after="40"/>
      </w:pPr>
      <w:r>
        <w:rPr>
          <w:b/>
          <w:color w:val="1F2D55"/>
          <w:sz w:val="20"/>
        </w:rPr>
        <w:t xml:space="preserve">Report reference:  </w:t>
      </w:r>
      <w:r>
        <w:rPr>
          <w:sz w:val="20"/>
        </w:rPr>
        <w:t>REP-2026-966</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11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CEO_Report.docx</w:t>
      </w:r>
    </w:p>
    <w:p>
      <w:pPr>
        <w:spacing w:before="240" w:after="80"/>
      </w:pPr>
      <w:r>
        <w:rPr>
          <w:b/>
          <w:color w:val="1F2D55"/>
          <w:sz w:val="26"/>
        </w:rPr>
        <w:t>Executive summary</w:t>
      </w:r>
    </w:p>
    <w:p>
      <w:pPr>
        <w:spacing w:after="80"/>
      </w:pPr>
      <w:r>
        <w:rPr>
          <w:i w:val="0"/>
          <w:sz w:val="20"/>
        </w:rPr>
        <w:t>This report (CEO Report)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9.7</w:t>
            </w:r>
          </w:p>
        </w:tc>
        <w:tc>
          <w:tcPr>
            <w:tcW w:type="dxa" w:w="1728"/>
          </w:tcPr>
          <w:p>
            <w:r>
              <w:rPr>
                <w:sz w:val="18"/>
              </w:rPr>
              <w:t>15.6</w:t>
            </w:r>
          </w:p>
        </w:tc>
        <w:tc>
          <w:tcPr>
            <w:tcW w:type="dxa" w:w="1728"/>
          </w:tcPr>
          <w:p>
            <w:r>
              <w:rPr>
                <w:sz w:val="18"/>
              </w:rPr>
              <w:t>22.5</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