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GLC Investee Annual Reports</w:t>
      </w:r>
    </w:p>
    <w:p>
      <w:pPr>
        <w:spacing w:after="200"/>
      </w:pPr>
      <w:r>
        <w:rPr>
          <w:i/>
          <w:color w:val="4B5B7C"/>
          <w:sz w:val="22"/>
        </w:rPr>
        <w:t>Report · Internal Distribution</w:t>
      </w:r>
    </w:p>
    <w:p>
      <w:pPr>
        <w:spacing w:after="40"/>
      </w:pPr>
      <w:r>
        <w:rPr>
          <w:b/>
          <w:color w:val="1F2D55"/>
          <w:sz w:val="20"/>
        </w:rPr>
        <w:t xml:space="preserve">Report reference:  </w:t>
      </w:r>
      <w:r>
        <w:rPr>
          <w:sz w:val="20"/>
        </w:rPr>
        <w:t>REP-2025-613</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10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GLC_Investee_Annual_Reports.docx</w:t>
      </w:r>
    </w:p>
    <w:p>
      <w:pPr>
        <w:spacing w:before="240" w:after="80"/>
      </w:pPr>
      <w:r>
        <w:rPr>
          <w:b/>
          <w:color w:val="1F2D55"/>
          <w:sz w:val="26"/>
        </w:rPr>
        <w:t>Executive summary</w:t>
      </w:r>
    </w:p>
    <w:p>
      <w:pPr>
        <w:spacing w:after="80"/>
      </w:pPr>
      <w:r>
        <w:rPr>
          <w:i w:val="0"/>
          <w:sz w:val="20"/>
        </w:rPr>
        <w:t>This report (GLC Investee Annual Reports)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8.5</w:t>
            </w:r>
          </w:p>
        </w:tc>
        <w:tc>
          <w:tcPr>
            <w:tcW w:type="dxa" w:w="1728"/>
          </w:tcPr>
          <w:p>
            <w:r>
              <w:rPr>
                <w:sz w:val="18"/>
              </w:rPr>
              <w:t>17.7</w:t>
            </w:r>
          </w:p>
        </w:tc>
        <w:tc>
          <w:tcPr>
            <w:tcW w:type="dxa" w:w="1728"/>
          </w:tcPr>
          <w:p>
            <w:r>
              <w:rPr>
                <w:sz w:val="18"/>
              </w:rPr>
              <w:t>22.9</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