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B7280"/>
          <w:sz w:val="18"/>
        </w:rPr>
        <w:t>ZAVA CONGLOMERATE</w:t>
      </w:r>
    </w:p>
    <w:p>
      <w:pPr>
        <w:spacing w:after="40"/>
      </w:pPr>
      <w:r>
        <w:rPr>
          <w:b/>
          <w:color w:val="1F2D55"/>
          <w:sz w:val="44"/>
        </w:rPr>
        <w:t>HR 19 CV Candidate 2</w:t>
      </w:r>
    </w:p>
    <w:p>
      <w:pPr>
        <w:spacing w:after="200"/>
      </w:pPr>
      <w:r>
        <w:rPr>
          <w:i/>
          <w:color w:val="4B5B7C"/>
          <w:sz w:val="22"/>
        </w:rPr>
        <w:t>Candidate Profiles · Confidential</w:t>
      </w:r>
    </w:p>
    <w:p>
      <w:pPr>
        <w:spacing w:after="40"/>
      </w:pPr>
      <w:r>
        <w:rPr>
          <w:b/>
          <w:color w:val="1F2D55"/>
          <w:sz w:val="20"/>
        </w:rPr>
        <w:t xml:space="preserve">Purpose:  </w:t>
      </w:r>
      <w:r>
        <w:rPr>
          <w:sz w:val="20"/>
        </w:rPr>
        <w:t>Shortlist review for the role indicated in the file title</w:t>
      </w:r>
    </w:p>
    <w:p>
      <w:pPr>
        <w:spacing w:after="40"/>
      </w:pPr>
      <w:r>
        <w:rPr>
          <w:b/>
          <w:color w:val="1F2D55"/>
          <w:sz w:val="20"/>
        </w:rPr>
        <w:t xml:space="preserve">Prepared by:  </w:t>
      </w:r>
      <w:r>
        <w:rPr>
          <w:sz w:val="20"/>
        </w:rPr>
        <w:t>Group Talent Acquisition (with Russell Reynolds support)</w:t>
      </w:r>
    </w:p>
    <w:p>
      <w:pPr>
        <w:spacing w:after="40"/>
      </w:pPr>
      <w:r>
        <w:rPr>
          <w:b/>
          <w:color w:val="1F2D55"/>
          <w:sz w:val="20"/>
        </w:rPr>
        <w:t xml:space="preserve">Issue date:  </w:t>
      </w:r>
      <w:r>
        <w:rPr>
          <w:sz w:val="20"/>
        </w:rPr>
        <w:t>18 May 2026</w:t>
      </w:r>
    </w:p>
    <w:p>
      <w:pPr>
        <w:spacing w:after="40"/>
      </w:pPr>
      <w:r>
        <w:rPr>
          <w:b/>
          <w:color w:val="1F2D55"/>
          <w:sz w:val="20"/>
        </w:rPr>
        <w:t xml:space="preserve">Classification:  </w:t>
      </w:r>
      <w:r>
        <w:rPr>
          <w:sz w:val="20"/>
        </w:rPr>
        <w:t>Confidential — HR Committee distribution only</w:t>
      </w:r>
    </w:p>
    <w:p>
      <w:pPr>
        <w:spacing w:after="40"/>
      </w:pPr>
      <w:r>
        <w:rPr>
          <w:b/>
          <w:color w:val="1F2D55"/>
          <w:sz w:val="20"/>
        </w:rPr>
        <w:t xml:space="preserve">Source file:  </w:t>
      </w:r>
      <w:r>
        <w:rPr>
          <w:sz w:val="20"/>
        </w:rPr>
        <w:t>HR_19_CV_Candidate_2.docx</w:t>
      </w:r>
    </w:p>
    <w:p>
      <w:pPr>
        <w:spacing w:before="240" w:after="80"/>
      </w:pPr>
      <w:r>
        <w:rPr>
          <w:b/>
          <w:color w:val="1F2D55"/>
          <w:sz w:val="26"/>
        </w:rPr>
        <w:t>Executive summary</w:t>
      </w:r>
    </w:p>
    <w:p>
      <w:pPr>
        <w:spacing w:after="80"/>
      </w:pPr>
      <w:r>
        <w:rPr>
          <w:i w:val="0"/>
          <w:sz w:val="20"/>
        </w:rPr>
        <w:t>Six candidates progressed to the long-list; five completed initial interviews; three are presented for shortlist review. All three meet the role-critical criteria. Each has differentiated strengths and trade-offs noted below. References are pending; offer trajectory subject to Compensation Committee.</w:t>
      </w:r>
    </w:p>
    <w:p>
      <w:pPr>
        <w:spacing w:before="240" w:after="80"/>
      </w:pPr>
      <w:r>
        <w:rPr>
          <w:b/>
          <w:color w:val="1F2D55"/>
          <w:sz w:val="26"/>
        </w:rPr>
        <w:t>Candidate 1 — Candidate A — Dr Aisyah Rahman</w:t>
      </w:r>
    </w:p>
    <w:p>
      <w:pPr>
        <w:spacing w:after="40"/>
      </w:pPr>
      <w:r>
        <w:rPr>
          <w:b/>
          <w:color w:val="1F2D55"/>
          <w:sz w:val="20"/>
        </w:rPr>
        <w:t xml:space="preserve">Current role:  </w:t>
      </w:r>
      <w:r>
        <w:rPr>
          <w:sz w:val="20"/>
        </w:rPr>
        <w:t>Group COO (Industrial Manufacturing peer)</w:t>
      </w:r>
    </w:p>
    <w:p>
      <w:pPr>
        <w:spacing w:after="40"/>
      </w:pPr>
      <w:r>
        <w:rPr>
          <w:b/>
          <w:color w:val="1F2D55"/>
          <w:sz w:val="20"/>
        </w:rPr>
        <w:t xml:space="preserve">Qualifications:  </w:t>
      </w:r>
      <w:r>
        <w:rPr>
          <w:sz w:val="20"/>
        </w:rPr>
        <w:t>MBA INSEAD; BE (Hons) Mechanical, UPM; Six Sigma Black Belt.</w:t>
      </w:r>
    </w:p>
    <w:p>
      <w:pPr>
        <w:spacing w:after="80"/>
      </w:pPr>
      <w:r>
        <w:rPr>
          <w:i w:val="0"/>
          <w:sz w:val="20"/>
        </w:rPr>
        <w:t>18 years operating leadership across multi-site manufacturing in MY/ID/TH. Most recently led a USD 2.1B operating unit; delivered MYR 380m run-rate from a 3-year continuous-improvement programme. Board director on two ASEAN-listed industrials.</w:t>
      </w:r>
    </w:p>
    <w:p>
      <w:pPr>
        <w:spacing w:before="160" w:after="40"/>
      </w:pPr>
      <w:r>
        <w:rPr>
          <w:b/>
          <w:color w:val="4B5B7C"/>
          <w:sz w:val="22"/>
        </w:rPr>
        <w:t>Strengths</w:t>
      </w:r>
    </w:p>
    <w:p>
      <w:pPr>
        <w:pStyle w:val="ListBullet"/>
        <w:spacing w:after="40"/>
      </w:pPr>
      <w:r>
        <w:rPr>
          <w:sz w:val="20"/>
        </w:rPr>
        <w:t>Operational excellence — top-quartile delivery track record.</w:t>
      </w:r>
    </w:p>
    <w:p>
      <w:pPr>
        <w:pStyle w:val="ListBullet"/>
        <w:spacing w:after="40"/>
      </w:pPr>
      <w:r>
        <w:rPr>
          <w:sz w:val="20"/>
        </w:rPr>
        <w:t>Cross-border execution — fluent in MY, ID, TH operating contexts.</w:t>
      </w:r>
    </w:p>
    <w:p>
      <w:pPr>
        <w:pStyle w:val="ListBullet"/>
        <w:spacing w:after="40"/>
      </w:pPr>
      <w:r>
        <w:rPr>
          <w:sz w:val="20"/>
        </w:rPr>
        <w:t>Talent magnet — three of her direct reports are now CEOs elsewhere.</w:t>
      </w:r>
    </w:p>
    <w:p>
      <w:pPr>
        <w:spacing w:before="160" w:after="40"/>
      </w:pPr>
      <w:r>
        <w:rPr>
          <w:b/>
          <w:color w:val="4B5B7C"/>
          <w:sz w:val="22"/>
        </w:rPr>
        <w:t>Considerations</w:t>
      </w:r>
    </w:p>
    <w:p>
      <w:pPr>
        <w:pStyle w:val="ListBullet"/>
        <w:spacing w:after="40"/>
      </w:pPr>
      <w:r>
        <w:rPr>
          <w:sz w:val="20"/>
        </w:rPr>
        <w:t>Limited consumer / digital exposure — would benefit from a pairing.</w:t>
      </w:r>
    </w:p>
    <w:p>
      <w:pPr>
        <w:pStyle w:val="ListBullet"/>
        <w:spacing w:after="40"/>
      </w:pPr>
      <w:r>
        <w:rPr>
          <w:sz w:val="20"/>
        </w:rPr>
        <w:t>Compensation expectation at the top of band — managed via LTI mix.</w:t>
      </w:r>
    </w:p>
    <w:p>
      <w:pPr>
        <w:spacing w:before="160" w:after="40"/>
      </w:pPr>
      <w:r>
        <w:rPr>
          <w:b/>
          <w:color w:val="4B5B7C"/>
          <w:sz w:val="22"/>
        </w:rPr>
        <w:t>Reference checks</w:t>
      </w:r>
    </w:p>
    <w:p>
      <w:pPr>
        <w:spacing w:after="80"/>
      </w:pPr>
      <w:r>
        <w:rPr>
          <w:i w:val="0"/>
          <w:sz w:val="20"/>
        </w:rPr>
        <w:t>Three professional references identified per candidate; pending direct outreach. Two character references on file.</w:t>
      </w:r>
    </w:p>
    <w:p>
      <w:pPr>
        <w:spacing w:before="240" w:after="80"/>
      </w:pPr>
      <w:r>
        <w:rPr>
          <w:b/>
          <w:color w:val="1F2D55"/>
          <w:sz w:val="26"/>
        </w:rPr>
        <w:t>Candidate 2 — Candidate B — Mr Daniel Tan</w:t>
      </w:r>
    </w:p>
    <w:p>
      <w:pPr>
        <w:spacing w:after="40"/>
      </w:pPr>
      <w:r>
        <w:rPr>
          <w:b/>
          <w:color w:val="1F2D55"/>
          <w:sz w:val="20"/>
        </w:rPr>
        <w:t xml:space="preserve">Current role:  </w:t>
      </w:r>
      <w:r>
        <w:rPr>
          <w:sz w:val="20"/>
        </w:rPr>
        <w:t>Group MD (Diversified ASEAN holding)</w:t>
      </w:r>
    </w:p>
    <w:p>
      <w:pPr>
        <w:spacing w:after="40"/>
      </w:pPr>
      <w:r>
        <w:rPr>
          <w:b/>
          <w:color w:val="1F2D55"/>
          <w:sz w:val="20"/>
        </w:rPr>
        <w:t xml:space="preserve">Qualifications:  </w:t>
      </w:r>
      <w:r>
        <w:rPr>
          <w:sz w:val="20"/>
        </w:rPr>
        <w:t>MBA Wharton; BSc (Hons) Economics, LSE.</w:t>
      </w:r>
    </w:p>
    <w:p>
      <w:pPr>
        <w:spacing w:after="80"/>
      </w:pPr>
      <w:r>
        <w:rPr>
          <w:i w:val="0"/>
          <w:sz w:val="20"/>
        </w:rPr>
        <w:t>22 years in diversified groups — last 7 as Group MD of a USD 5B holding (Banking, Property, Consumer). Listed-company chair experience. Active M&amp;A and portfolio rotation track record (USD 1.4B divestments completed).</w:t>
      </w:r>
    </w:p>
    <w:p>
      <w:pPr>
        <w:spacing w:before="160" w:after="40"/>
      </w:pPr>
      <w:r>
        <w:rPr>
          <w:b/>
          <w:color w:val="4B5B7C"/>
          <w:sz w:val="22"/>
        </w:rPr>
        <w:t>Strengths</w:t>
      </w:r>
    </w:p>
    <w:p>
      <w:pPr>
        <w:pStyle w:val="ListBullet"/>
        <w:spacing w:after="40"/>
      </w:pPr>
      <w:r>
        <w:rPr>
          <w:sz w:val="20"/>
        </w:rPr>
        <w:t>Portfolio management — proven inorganic-and-organic balancing.</w:t>
      </w:r>
    </w:p>
    <w:p>
      <w:pPr>
        <w:pStyle w:val="ListBullet"/>
        <w:spacing w:after="40"/>
      </w:pPr>
      <w:r>
        <w:rPr>
          <w:sz w:val="20"/>
        </w:rPr>
        <w:t>Capital-markets fluency — strong rapport with sell-side analysts.</w:t>
      </w:r>
    </w:p>
    <w:p>
      <w:pPr>
        <w:pStyle w:val="ListBullet"/>
        <w:spacing w:after="40"/>
      </w:pPr>
      <w:r>
        <w:rPr>
          <w:sz w:val="20"/>
        </w:rPr>
        <w:t>Strategic clarity — articulates simple, ambitious narratives.</w:t>
      </w:r>
    </w:p>
    <w:p>
      <w:pPr>
        <w:spacing w:before="160" w:after="40"/>
      </w:pPr>
      <w:r>
        <w:rPr>
          <w:b/>
          <w:color w:val="4B5B7C"/>
          <w:sz w:val="22"/>
        </w:rPr>
        <w:t>Considerations</w:t>
      </w:r>
    </w:p>
    <w:p>
      <w:pPr>
        <w:pStyle w:val="ListBullet"/>
        <w:spacing w:after="40"/>
      </w:pPr>
      <w:r>
        <w:rPr>
          <w:sz w:val="20"/>
        </w:rPr>
        <w:t>Operational depth lighter than Candidate A.</w:t>
      </w:r>
    </w:p>
    <w:p>
      <w:pPr>
        <w:pStyle w:val="ListBullet"/>
        <w:spacing w:after="40"/>
      </w:pPr>
      <w:r>
        <w:rPr>
          <w:sz w:val="20"/>
        </w:rPr>
        <w:t>Profile high; potentially viewed as 'CEO-in-waiting' externally.</w:t>
      </w:r>
    </w:p>
    <w:p>
      <w:pPr>
        <w:spacing w:before="160" w:after="40"/>
      </w:pPr>
      <w:r>
        <w:rPr>
          <w:b/>
          <w:color w:val="4B5B7C"/>
          <w:sz w:val="22"/>
        </w:rPr>
        <w:t>Reference checks</w:t>
      </w:r>
    </w:p>
    <w:p>
      <w:pPr>
        <w:spacing w:after="80"/>
      </w:pPr>
      <w:r>
        <w:rPr>
          <w:i w:val="0"/>
          <w:sz w:val="20"/>
        </w:rPr>
        <w:t>Three professional references identified per candidate; pending direct outreach. Two character references on file.</w:t>
      </w:r>
    </w:p>
    <w:p>
      <w:pPr>
        <w:spacing w:before="240" w:after="80"/>
      </w:pPr>
      <w:r>
        <w:rPr>
          <w:b/>
          <w:color w:val="1F2D55"/>
          <w:sz w:val="26"/>
        </w:rPr>
        <w:t>Candidate 3 — Candidate C — Ms Priya Sundaram</w:t>
      </w:r>
    </w:p>
    <w:p>
      <w:pPr>
        <w:spacing w:after="40"/>
      </w:pPr>
      <w:r>
        <w:rPr>
          <w:b/>
          <w:color w:val="1F2D55"/>
          <w:sz w:val="20"/>
        </w:rPr>
        <w:t xml:space="preserve">Current role:  </w:t>
      </w:r>
      <w:r>
        <w:rPr>
          <w:sz w:val="20"/>
        </w:rPr>
        <w:t>Group CSO (FMCG conglomerate)</w:t>
      </w:r>
    </w:p>
    <w:p>
      <w:pPr>
        <w:spacing w:after="40"/>
      </w:pPr>
      <w:r>
        <w:rPr>
          <w:b/>
          <w:color w:val="1F2D55"/>
          <w:sz w:val="20"/>
        </w:rPr>
        <w:t xml:space="preserve">Qualifications:  </w:t>
      </w:r>
      <w:r>
        <w:rPr>
          <w:sz w:val="20"/>
        </w:rPr>
        <w:t>MBA Stanford; BA Princeton (Economics).</w:t>
      </w:r>
    </w:p>
    <w:p>
      <w:pPr>
        <w:spacing w:after="80"/>
      </w:pPr>
      <w:r>
        <w:rPr>
          <w:i w:val="0"/>
          <w:sz w:val="20"/>
        </w:rPr>
        <w:t>16 years strategy / M&amp;A leadership. Currently Group CSO; previously partner at McKinsey Singapore. Led 3 transformational programmes; chairs the Innovation Council. Active board director on a Singapore-listed name.</w:t>
      </w:r>
    </w:p>
    <w:p>
      <w:pPr>
        <w:spacing w:before="160" w:after="40"/>
      </w:pPr>
      <w:r>
        <w:rPr>
          <w:b/>
          <w:color w:val="4B5B7C"/>
          <w:sz w:val="22"/>
        </w:rPr>
        <w:t>Strengths</w:t>
      </w:r>
    </w:p>
    <w:p>
      <w:pPr>
        <w:pStyle w:val="ListBullet"/>
        <w:spacing w:after="40"/>
      </w:pPr>
      <w:r>
        <w:rPr>
          <w:sz w:val="20"/>
        </w:rPr>
        <w:t>Strategic depth — exceptional analytical and storytelling toolkit.</w:t>
      </w:r>
    </w:p>
    <w:p>
      <w:pPr>
        <w:pStyle w:val="ListBullet"/>
        <w:spacing w:after="40"/>
      </w:pPr>
      <w:r>
        <w:rPr>
          <w:sz w:val="20"/>
        </w:rPr>
        <w:t>Network — strong external relationships in PE / venture / advisory.</w:t>
      </w:r>
    </w:p>
    <w:p>
      <w:pPr>
        <w:pStyle w:val="ListBullet"/>
        <w:spacing w:after="40"/>
      </w:pPr>
      <w:r>
        <w:rPr>
          <w:sz w:val="20"/>
        </w:rPr>
        <w:t>Energy and intellectual horsepower of a peer-group standout.</w:t>
      </w:r>
    </w:p>
    <w:p>
      <w:pPr>
        <w:spacing w:before="160" w:after="40"/>
      </w:pPr>
      <w:r>
        <w:rPr>
          <w:b/>
          <w:color w:val="4B5B7C"/>
          <w:sz w:val="22"/>
        </w:rPr>
        <w:t>Considerations</w:t>
      </w:r>
    </w:p>
    <w:p>
      <w:pPr>
        <w:pStyle w:val="ListBullet"/>
        <w:spacing w:after="40"/>
      </w:pPr>
      <w:r>
        <w:rPr>
          <w:sz w:val="20"/>
        </w:rPr>
        <w:t>Operating-line accountability shorter than Candidates A and B.</w:t>
      </w:r>
    </w:p>
    <w:p>
      <w:pPr>
        <w:pStyle w:val="ListBullet"/>
        <w:spacing w:after="40"/>
      </w:pPr>
      <w:r>
        <w:rPr>
          <w:sz w:val="20"/>
        </w:rPr>
        <w:t>Has expressed preference for Singapore base; willing to relocate.</w:t>
      </w:r>
    </w:p>
    <w:p>
      <w:pPr>
        <w:spacing w:before="160" w:after="40"/>
      </w:pPr>
      <w:r>
        <w:rPr>
          <w:b/>
          <w:color w:val="4B5B7C"/>
          <w:sz w:val="22"/>
        </w:rPr>
        <w:t>Reference checks</w:t>
      </w:r>
    </w:p>
    <w:p>
      <w:pPr>
        <w:spacing w:after="80"/>
      </w:pPr>
      <w:r>
        <w:rPr>
          <w:i w:val="0"/>
          <w:sz w:val="20"/>
        </w:rPr>
        <w:t>Three professional references identified per candidate; pending direct outreach. Two character references on file.</w:t>
      </w:r>
    </w:p>
    <w:p>
      <w:pPr>
        <w:spacing w:before="240" w:after="80"/>
      </w:pPr>
      <w:r>
        <w:rPr>
          <w:b/>
          <w:color w:val="1F2D55"/>
          <w:sz w:val="26"/>
        </w:rPr>
        <w:t>Comparative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Candidate A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Candidate B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Candidate 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Operating leadership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Strategic clarity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Talent leadership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Stakeholder fluency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Cultural fit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ESG sensibility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 (weighted)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7.6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Recommendation to HR Committee</w:t>
      </w:r>
    </w:p>
    <w:p>
      <w:pPr>
        <w:spacing w:after="80"/>
      </w:pPr>
      <w:r>
        <w:rPr>
          <w:i w:val="0"/>
          <w:sz w:val="20"/>
        </w:rPr>
        <w:t>Recommend progressing Candidates A and B to final-round interviews with the Chair and the GroupExCo. Candidate C is held in reserve subject to outcome. Comp Committee to align compensation envelope before final offers.</w:t>
      </w:r>
    </w:p>
    <w:p>
      <w:pPr>
        <w:jc w:val="center"/>
      </w:pPr>
      <w:r>
        <w:rPr>
          <w:i/>
          <w:color w:val="9CA3AF"/>
          <w:sz w:val="16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