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HR Performance Policy</w:t>
      </w:r>
    </w:p>
    <w:p>
      <w:pPr>
        <w:spacing w:after="200"/>
      </w:pPr>
      <w:r>
        <w:rPr>
          <w:i/>
          <w:color w:val="4B5B7C"/>
          <w:sz w:val="22"/>
        </w:rPr>
        <w:t>Group Policy · Approved by the Board</w:t>
      </w:r>
    </w:p>
    <w:p>
      <w:pPr>
        <w:spacing w:after="40"/>
      </w:pPr>
      <w:r>
        <w:rPr>
          <w:b/>
          <w:color w:val="1F2D55"/>
          <w:sz w:val="20"/>
        </w:rPr>
        <w:t xml:space="preserve">Document reference:  </w:t>
      </w:r>
      <w:r>
        <w:rPr>
          <w:sz w:val="20"/>
        </w:rPr>
        <w:t>GP-HRP-2026-254</w:t>
      </w:r>
    </w:p>
    <w:p>
      <w:pPr>
        <w:spacing w:after="40"/>
      </w:pPr>
      <w:r>
        <w:rPr>
          <w:b/>
          <w:color w:val="1F2D55"/>
          <w:sz w:val="20"/>
        </w:rPr>
        <w:t xml:space="preserve">Owner:  </w:t>
      </w:r>
      <w:r>
        <w:rPr>
          <w:sz w:val="20"/>
        </w:rPr>
        <w:t>Group Chief Risk Officer</w:t>
      </w:r>
    </w:p>
    <w:p>
      <w:pPr>
        <w:spacing w:after="40"/>
      </w:pPr>
      <w:r>
        <w:rPr>
          <w:b/>
          <w:color w:val="1F2D55"/>
          <w:sz w:val="20"/>
        </w:rPr>
        <w:t xml:space="preserve">Effective date:  </w:t>
      </w:r>
      <w:r>
        <w:rPr>
          <w:sz w:val="20"/>
        </w:rPr>
        <w:t>19 May 2026</w:t>
      </w:r>
    </w:p>
    <w:p>
      <w:pPr>
        <w:spacing w:after="40"/>
      </w:pPr>
      <w:r>
        <w:rPr>
          <w:b/>
          <w:color w:val="1F2D55"/>
          <w:sz w:val="20"/>
        </w:rPr>
        <w:t xml:space="preserve">Next review:  </w:t>
      </w:r>
      <w:r>
        <w:rPr>
          <w:sz w:val="20"/>
        </w:rPr>
        <w:t>May 2027</w:t>
      </w:r>
    </w:p>
    <w:p>
      <w:pPr>
        <w:spacing w:after="40"/>
      </w:pPr>
      <w:r>
        <w:rPr>
          <w:b/>
          <w:color w:val="1F2D55"/>
          <w:sz w:val="20"/>
        </w:rPr>
        <w:t xml:space="preserve">Version:  </w:t>
      </w:r>
      <w:r>
        <w:rPr>
          <w:sz w:val="20"/>
        </w:rPr>
        <w:t>3.2</w:t>
      </w:r>
    </w:p>
    <w:p>
      <w:pPr>
        <w:spacing w:after="40"/>
      </w:pPr>
      <w:r>
        <w:rPr>
          <w:b/>
          <w:color w:val="1F2D55"/>
          <w:sz w:val="20"/>
        </w:rPr>
        <w:t xml:space="preserve">Approved by:  </w:t>
      </w:r>
      <w:r>
        <w:rPr>
          <w:sz w:val="20"/>
        </w:rPr>
        <w:t>Zava Conglomerate Board, resolution 2026-R-018</w:t>
      </w:r>
    </w:p>
    <w:p>
      <w:pPr>
        <w:spacing w:after="40"/>
      </w:pPr>
      <w:r>
        <w:rPr>
          <w:b/>
          <w:color w:val="1F2D55"/>
          <w:sz w:val="20"/>
        </w:rPr>
        <w:t xml:space="preserve">Source file:  </w:t>
      </w:r>
      <w:r>
        <w:rPr>
          <w:sz w:val="20"/>
        </w:rPr>
        <w:t>HR_Performance_Policy.docx</w:t>
      </w:r>
    </w:p>
    <w:p>
      <w:pPr>
        <w:spacing w:after="40"/>
      </w:pPr>
      <w:r>
        <w:rPr>
          <w:b/>
          <w:color w:val="1F2D55"/>
          <w:sz w:val="20"/>
        </w:rPr>
        <w:t xml:space="preserve">Distribution:  </w:t>
      </w:r>
      <w:r>
        <w:rPr>
          <w:sz w:val="20"/>
        </w:rPr>
        <w:t>All employees · contractors · third-party agents</w:t>
      </w:r>
    </w:p>
    <w:p>
      <w:pPr>
        <w:spacing w:before="240" w:after="80"/>
      </w:pPr>
      <w:r>
        <w:rPr>
          <w:b/>
          <w:color w:val="1F2D55"/>
          <w:sz w:val="26"/>
        </w:rPr>
        <w:t>1. Purpose</w:t>
      </w:r>
    </w:p>
    <w:p>
      <w:pPr>
        <w:spacing w:after="80"/>
      </w:pPr>
      <w:r>
        <w:rPr>
          <w:i w:val="0"/>
          <w:sz w:val="20"/>
        </w:rPr>
        <w:t>This HR Performance Policy sets out the principles, mandatory requirements, roles and responsibilities that govern related activities across all entities of Zava Conglomerate (the “Group”). It is binding on every employee, secondee, contractor and third-party agent acting on behalf of any Group entity, regardless of jurisdiction.</w:t>
      </w:r>
    </w:p>
    <w:p>
      <w:pPr>
        <w:spacing w:after="80"/>
      </w:pPr>
      <w:r>
        <w:rPr>
          <w:i w:val="0"/>
          <w:sz w:val="20"/>
        </w:rPr>
        <w:t>Compliance with this policy is mandatory and forms part of the terms of employment / engagement. Breaches will be investigated and may result in disciplinary action up to and including termination, and where applicable, referral to law-enforcement authorities.</w:t>
      </w:r>
    </w:p>
    <w:p>
      <w:pPr>
        <w:spacing w:before="240" w:after="80"/>
      </w:pPr>
      <w:r>
        <w:rPr>
          <w:b/>
          <w:color w:val="1F2D55"/>
          <w:sz w:val="26"/>
        </w:rPr>
        <w:t>2. Scope and applicability</w:t>
      </w:r>
    </w:p>
    <w:p>
      <w:pPr>
        <w:spacing w:after="80"/>
      </w:pPr>
      <w:r>
        <w:rPr>
          <w:i w:val="0"/>
          <w:sz w:val="20"/>
        </w:rPr>
        <w:t>This policy applies to all wholly-owned subsidiaries, joint ventures where the Group exercises management control, and any associated entity that adopts Group Policies under its shareholder agreement. Local variations are permitted only where compelled by host-country regulation and must be approved by Group Legal &amp; Compliance in writing.</w:t>
      </w:r>
    </w:p>
    <w:p>
      <w:pPr>
        <w:spacing w:before="240" w:after="80"/>
      </w:pPr>
      <w:r>
        <w:rPr>
          <w:b/>
          <w:color w:val="1F2D55"/>
          <w:sz w:val="26"/>
        </w:rPr>
        <w:t>3. Definitions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Term</w:t>
            </w:r>
          </w:p>
        </w:tc>
        <w:tc>
          <w:tcPr>
            <w:tcW w:type="dxa" w:w="4320"/>
            <w:shd w:val="clear" w:color="auto" w:fill="1F2D55"/>
          </w:tcPr>
          <w:p>
            <w:r>
              <w:rPr>
                <w:b/>
                <w:color w:val="FFFFFF"/>
                <w:sz w:val="18"/>
              </w:rPr>
              <w:t>Definition</w:t>
            </w:r>
          </w:p>
        </w:tc>
      </w:tr>
      <w:tr>
        <w:tc>
          <w:tcPr>
            <w:tcW w:type="dxa" w:w="4320"/>
          </w:tcPr>
          <w:p>
            <w:r>
              <w:rPr>
                <w:sz w:val="18"/>
              </w:rPr>
              <w:t>Group</w:t>
            </w:r>
          </w:p>
        </w:tc>
        <w:tc>
          <w:tcPr>
            <w:tcW w:type="dxa" w:w="4320"/>
          </w:tcPr>
          <w:p>
            <w:r>
              <w:rPr>
                <w:sz w:val="18"/>
              </w:rPr>
              <w:t>Zava Conglomerate and all subsidiaries it controls (&gt;50% voting or management control).</w:t>
            </w:r>
          </w:p>
        </w:tc>
      </w:tr>
      <w:tr>
        <w:tc>
          <w:tcPr>
            <w:tcW w:type="dxa" w:w="4320"/>
          </w:tcPr>
          <w:p>
            <w:r>
              <w:rPr>
                <w:sz w:val="18"/>
              </w:rPr>
              <w:t>Senior Officer</w:t>
            </w:r>
          </w:p>
        </w:tc>
        <w:tc>
          <w:tcPr>
            <w:tcW w:type="dxa" w:w="4320"/>
          </w:tcPr>
          <w:p>
            <w:r>
              <w:rPr>
                <w:sz w:val="18"/>
              </w:rPr>
              <w:t>Any employee at grade 14 and above, plus any officer named in the Group authority matrix.</w:t>
            </w:r>
          </w:p>
        </w:tc>
      </w:tr>
      <w:tr>
        <w:tc>
          <w:tcPr>
            <w:tcW w:type="dxa" w:w="4320"/>
          </w:tcPr>
          <w:p>
            <w:r>
              <w:rPr>
                <w:sz w:val="18"/>
              </w:rPr>
              <w:t>Material</w:t>
            </w:r>
          </w:p>
        </w:tc>
        <w:tc>
          <w:tcPr>
            <w:tcW w:type="dxa" w:w="4320"/>
          </w:tcPr>
          <w:p>
            <w:r>
              <w:rPr>
                <w:sz w:val="18"/>
              </w:rPr>
              <w:t>An act, transaction or omission that, individually or in aggregate, exceeds 0.5% of Group annual revenue or could attract regulatory censure.</w:t>
            </w:r>
          </w:p>
        </w:tc>
      </w:tr>
      <w:tr>
        <w:tc>
          <w:tcPr>
            <w:tcW w:type="dxa" w:w="4320"/>
          </w:tcPr>
          <w:p>
            <w:r>
              <w:rPr>
                <w:sz w:val="18"/>
              </w:rPr>
              <w:t>Third Party</w:t>
            </w:r>
          </w:p>
        </w:tc>
        <w:tc>
          <w:tcPr>
            <w:tcW w:type="dxa" w:w="4320"/>
          </w:tcPr>
          <w:p>
            <w:r>
              <w:rPr>
                <w:sz w:val="18"/>
              </w:rPr>
              <w:t>Any external entity engaged to act on behalf of the Group, including suppliers, agents, distributors, joint-venture partners and intermediaries.</w:t>
            </w:r>
          </w:p>
        </w:tc>
      </w:tr>
      <w:tr>
        <w:tc>
          <w:tcPr>
            <w:tcW w:type="dxa" w:w="4320"/>
          </w:tcPr>
          <w:p>
            <w:r>
              <w:rPr>
                <w:sz w:val="18"/>
              </w:rPr>
              <w:t>Reportable Event</w:t>
            </w:r>
          </w:p>
        </w:tc>
        <w:tc>
          <w:tcPr>
            <w:tcW w:type="dxa" w:w="4320"/>
          </w:tcPr>
          <w:p>
            <w:r>
              <w:rPr>
                <w:sz w:val="18"/>
              </w:rPr>
              <w:t>Any incident, allegation or near-miss that meets the thresholds in §6 of this policy.</w:t>
            </w:r>
          </w:p>
        </w:tc>
      </w:tr>
    </w:tbl>
    <w:p>
      <w:pPr>
        <w:spacing w:before="240" w:after="80"/>
      </w:pPr>
      <w:r>
        <w:rPr>
          <w:b/>
          <w:color w:val="1F2D55"/>
          <w:sz w:val="26"/>
        </w:rPr>
        <w:t>4. Principles</w:t>
      </w:r>
    </w:p>
    <w:p>
      <w:pPr>
        <w:pStyle w:val="ListBullet"/>
        <w:spacing w:after="40"/>
      </w:pPr>
      <w:r>
        <w:rPr>
          <w:sz w:val="20"/>
        </w:rPr>
        <w:t>1. Act with integrity and honesty in all business dealings, internal and external.</w:t>
      </w:r>
    </w:p>
    <w:p>
      <w:pPr>
        <w:pStyle w:val="ListBullet"/>
        <w:spacing w:after="40"/>
      </w:pPr>
      <w:r>
        <w:rPr>
          <w:sz w:val="20"/>
        </w:rPr>
        <w:t>2. Comply with the letter and the spirit of all applicable laws, regulations and Group policies.</w:t>
      </w:r>
    </w:p>
    <w:p>
      <w:pPr>
        <w:pStyle w:val="ListBullet"/>
        <w:spacing w:after="40"/>
      </w:pPr>
      <w:r>
        <w:rPr>
          <w:sz w:val="20"/>
        </w:rPr>
        <w:t>3. Maintain accurate books, records and disclosures; do not falsify, destroy or conceal documentation.</w:t>
      </w:r>
    </w:p>
    <w:p>
      <w:pPr>
        <w:pStyle w:val="ListBullet"/>
        <w:spacing w:after="40"/>
      </w:pPr>
      <w:r>
        <w:rPr>
          <w:sz w:val="20"/>
        </w:rPr>
        <w:t>4. Avoid conflicts of interest and disclose any actual, potential or perceived conflict to your line manager and Group Legal.</w:t>
      </w:r>
    </w:p>
    <w:p>
      <w:pPr>
        <w:pStyle w:val="ListBullet"/>
        <w:spacing w:after="40"/>
      </w:pPr>
      <w:r>
        <w:rPr>
          <w:sz w:val="20"/>
        </w:rPr>
        <w:t>5. Protect Group assets — including data, brand, intellectual property, cash and inventory — from loss, misuse or unauthorised access.</w:t>
      </w:r>
    </w:p>
    <w:p>
      <w:pPr>
        <w:pStyle w:val="ListBullet"/>
        <w:spacing w:after="40"/>
      </w:pPr>
      <w:r>
        <w:rPr>
          <w:sz w:val="20"/>
        </w:rPr>
        <w:t>6. Treat colleagues, customers, suppliers and communities with respect; foster a safe and inclusive working environment.</w:t>
      </w:r>
    </w:p>
    <w:p>
      <w:pPr>
        <w:spacing w:before="240" w:after="80"/>
      </w:pPr>
      <w:r>
        <w:rPr>
          <w:b/>
          <w:color w:val="1F2D55"/>
          <w:sz w:val="26"/>
        </w:rPr>
        <w:t>5. Mandatory requirements</w:t>
      </w:r>
    </w:p>
    <w:p>
      <w:pPr>
        <w:spacing w:after="80"/>
      </w:pPr>
      <w:r>
        <w:rPr>
          <w:i w:val="0"/>
          <w:sz w:val="20"/>
        </w:rPr>
        <w:t>Each in-scope process must implement controls covering (i) authorisation, (ii) recording, (iii) review and (iv) reporting. The Group Authority Matrix (GAM v4.1) lists the approval thresholds; matters above any threshold must follow the escalation routing in §6.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Activity area</w:t>
            </w:r>
          </w:p>
        </w:tc>
        <w:tc>
          <w:tcPr>
            <w:tcW w:type="dxa" w:w="2160"/>
            <w:shd w:val="clear" w:color="auto" w:fill="1F2D55"/>
          </w:tcPr>
          <w:p>
            <w:r>
              <w:rPr>
                <w:b/>
                <w:color w:val="FFFFFF"/>
                <w:sz w:val="18"/>
              </w:rPr>
              <w:t>Mandatory control</w:t>
            </w:r>
          </w:p>
        </w:tc>
        <w:tc>
          <w:tcPr>
            <w:tcW w:type="dxa" w:w="2160"/>
            <w:shd w:val="clear" w:color="auto" w:fill="1F2D55"/>
          </w:tcPr>
          <w:p>
            <w:r>
              <w:rPr>
                <w:b/>
                <w:color w:val="FFFFFF"/>
                <w:sz w:val="18"/>
              </w:rPr>
              <w:t>Frequency</w:t>
            </w:r>
          </w:p>
        </w:tc>
        <w:tc>
          <w:tcPr>
            <w:tcW w:type="dxa" w:w="2160"/>
            <w:shd w:val="clear" w:color="auto" w:fill="1F2D55"/>
          </w:tcPr>
          <w:p>
            <w:r>
              <w:rPr>
                <w:b/>
                <w:color w:val="FFFFFF"/>
                <w:sz w:val="18"/>
              </w:rPr>
              <w:t>Evidence</w:t>
            </w:r>
          </w:p>
        </w:tc>
      </w:tr>
      <w:tr>
        <w:tc>
          <w:tcPr>
            <w:tcW w:type="dxa" w:w="2160"/>
          </w:tcPr>
          <w:p>
            <w:r>
              <w:rPr>
                <w:sz w:val="18"/>
              </w:rPr>
              <w:t>Commitments above MYR 250k</w:t>
            </w:r>
          </w:p>
        </w:tc>
        <w:tc>
          <w:tcPr>
            <w:tcW w:type="dxa" w:w="2160"/>
          </w:tcPr>
          <w:p>
            <w:r>
              <w:rPr>
                <w:sz w:val="18"/>
              </w:rPr>
              <w:t>Two named approvers per GAM</w:t>
            </w:r>
          </w:p>
        </w:tc>
        <w:tc>
          <w:tcPr>
            <w:tcW w:type="dxa" w:w="2160"/>
          </w:tcPr>
          <w:p>
            <w:r>
              <w:rPr>
                <w:sz w:val="18"/>
              </w:rPr>
              <w:t>Per transaction</w:t>
            </w:r>
          </w:p>
        </w:tc>
        <w:tc>
          <w:tcPr>
            <w:tcW w:type="dxa" w:w="2160"/>
          </w:tcPr>
          <w:p>
            <w:r>
              <w:rPr>
                <w:sz w:val="18"/>
              </w:rPr>
              <w:t>Workflow audit trail in S/4HANA</w:t>
            </w:r>
          </w:p>
        </w:tc>
      </w:tr>
      <w:tr>
        <w:tc>
          <w:tcPr>
            <w:tcW w:type="dxa" w:w="2160"/>
          </w:tcPr>
          <w:p>
            <w:r>
              <w:rPr>
                <w:sz w:val="18"/>
              </w:rPr>
              <w:t>Vendor onboarding</w:t>
            </w:r>
          </w:p>
        </w:tc>
        <w:tc>
          <w:tcPr>
            <w:tcW w:type="dxa" w:w="2160"/>
          </w:tcPr>
          <w:p>
            <w:r>
              <w:rPr>
                <w:sz w:val="18"/>
              </w:rPr>
              <w:t>Sanctions screen + UBO check + COI declaration</w:t>
            </w:r>
          </w:p>
        </w:tc>
        <w:tc>
          <w:tcPr>
            <w:tcW w:type="dxa" w:w="2160"/>
          </w:tcPr>
          <w:p>
            <w:r>
              <w:rPr>
                <w:sz w:val="18"/>
              </w:rPr>
              <w:t>Pre-onboarding</w:t>
            </w:r>
          </w:p>
        </w:tc>
        <w:tc>
          <w:tcPr>
            <w:tcW w:type="dxa" w:w="2160"/>
          </w:tcPr>
          <w:p>
            <w:r>
              <w:rPr>
                <w:sz w:val="18"/>
              </w:rPr>
              <w:t>Vendor master record + screening log</w:t>
            </w:r>
          </w:p>
        </w:tc>
      </w:tr>
      <w:tr>
        <w:tc>
          <w:tcPr>
            <w:tcW w:type="dxa" w:w="2160"/>
          </w:tcPr>
          <w:p>
            <w:r>
              <w:rPr>
                <w:sz w:val="18"/>
              </w:rPr>
              <w:t>Statutory filings</w:t>
            </w:r>
          </w:p>
        </w:tc>
        <w:tc>
          <w:tcPr>
            <w:tcW w:type="dxa" w:w="2160"/>
          </w:tcPr>
          <w:p>
            <w:r>
              <w:rPr>
                <w:sz w:val="18"/>
              </w:rPr>
              <w:t>Filed within deadline; pre-submission review by Group Tax</w:t>
            </w:r>
          </w:p>
        </w:tc>
        <w:tc>
          <w:tcPr>
            <w:tcW w:type="dxa" w:w="2160"/>
          </w:tcPr>
          <w:p>
            <w:r>
              <w:rPr>
                <w:sz w:val="18"/>
              </w:rPr>
              <w:t>Per filing</w:t>
            </w:r>
          </w:p>
        </w:tc>
        <w:tc>
          <w:tcPr>
            <w:tcW w:type="dxa" w:w="2160"/>
          </w:tcPr>
          <w:p>
            <w:r>
              <w:rPr>
                <w:sz w:val="18"/>
              </w:rPr>
              <w:t>Acknowledgment receipt + tax calendar</w:t>
            </w:r>
          </w:p>
        </w:tc>
      </w:tr>
      <w:tr>
        <w:tc>
          <w:tcPr>
            <w:tcW w:type="dxa" w:w="2160"/>
          </w:tcPr>
          <w:p>
            <w:r>
              <w:rPr>
                <w:sz w:val="18"/>
              </w:rPr>
              <w:t>Cash disbursements</w:t>
            </w:r>
          </w:p>
        </w:tc>
        <w:tc>
          <w:tcPr>
            <w:tcW w:type="dxa" w:w="2160"/>
          </w:tcPr>
          <w:p>
            <w:r>
              <w:rPr>
                <w:sz w:val="18"/>
              </w:rPr>
              <w:t>Three-way match; segregation of duties enforced</w:t>
            </w:r>
          </w:p>
        </w:tc>
        <w:tc>
          <w:tcPr>
            <w:tcW w:type="dxa" w:w="2160"/>
          </w:tcPr>
          <w:p>
            <w:r>
              <w:rPr>
                <w:sz w:val="18"/>
              </w:rPr>
              <w:t>Per transaction</w:t>
            </w:r>
          </w:p>
        </w:tc>
        <w:tc>
          <w:tcPr>
            <w:tcW w:type="dxa" w:w="2160"/>
          </w:tcPr>
          <w:p>
            <w:r>
              <w:rPr>
                <w:sz w:val="18"/>
              </w:rPr>
              <w:t>S/4HANA logs + monthly reconciliation</w:t>
            </w:r>
          </w:p>
        </w:tc>
      </w:tr>
      <w:tr>
        <w:tc>
          <w:tcPr>
            <w:tcW w:type="dxa" w:w="2160"/>
          </w:tcPr>
          <w:p>
            <w:r>
              <w:rPr>
                <w:sz w:val="18"/>
              </w:rPr>
              <w:t>Customer onboarding</w:t>
            </w:r>
          </w:p>
        </w:tc>
        <w:tc>
          <w:tcPr>
            <w:tcW w:type="dxa" w:w="2160"/>
          </w:tcPr>
          <w:p>
            <w:r>
              <w:rPr>
                <w:sz w:val="18"/>
              </w:rPr>
              <w:t>KYC/CDD; PEP screen; risk rating</w:t>
            </w:r>
          </w:p>
        </w:tc>
        <w:tc>
          <w:tcPr>
            <w:tcW w:type="dxa" w:w="2160"/>
          </w:tcPr>
          <w:p>
            <w:r>
              <w:rPr>
                <w:sz w:val="18"/>
              </w:rPr>
              <w:t>Pre-onboarding</w:t>
            </w:r>
          </w:p>
        </w:tc>
        <w:tc>
          <w:tcPr>
            <w:tcW w:type="dxa" w:w="2160"/>
          </w:tcPr>
          <w:p>
            <w:r>
              <w:rPr>
                <w:sz w:val="18"/>
              </w:rPr>
              <w:t>KYC dossier + risk rating record</w:t>
            </w:r>
          </w:p>
        </w:tc>
      </w:tr>
      <w:tr>
        <w:tc>
          <w:tcPr>
            <w:tcW w:type="dxa" w:w="2160"/>
          </w:tcPr>
          <w:p>
            <w:r>
              <w:rPr>
                <w:sz w:val="18"/>
              </w:rPr>
              <w:t>Material contracts</w:t>
            </w:r>
          </w:p>
        </w:tc>
        <w:tc>
          <w:tcPr>
            <w:tcW w:type="dxa" w:w="2160"/>
          </w:tcPr>
          <w:p>
            <w:r>
              <w:rPr>
                <w:sz w:val="18"/>
              </w:rPr>
              <w:t>Group Legal review; sanctioned-counterparty check</w:t>
            </w:r>
          </w:p>
        </w:tc>
        <w:tc>
          <w:tcPr>
            <w:tcW w:type="dxa" w:w="2160"/>
          </w:tcPr>
          <w:p>
            <w:r>
              <w:rPr>
                <w:sz w:val="18"/>
              </w:rPr>
              <w:t>Pre-execution</w:t>
            </w:r>
          </w:p>
        </w:tc>
        <w:tc>
          <w:tcPr>
            <w:tcW w:type="dxa" w:w="2160"/>
          </w:tcPr>
          <w:p>
            <w:r>
              <w:rPr>
                <w:sz w:val="18"/>
              </w:rPr>
              <w:t>Contract register + sign-off email</w:t>
            </w:r>
          </w:p>
        </w:tc>
      </w:tr>
    </w:tbl>
    <w:p>
      <w:pPr>
        <w:spacing w:before="240" w:after="80"/>
      </w:pPr>
      <w:r>
        <w:rPr>
          <w:b/>
          <w:color w:val="1F2D55"/>
          <w:sz w:val="26"/>
        </w:rPr>
        <w:t>6. Reporting, escalation and whistleblowing</w:t>
      </w:r>
    </w:p>
    <w:p>
      <w:pPr>
        <w:spacing w:after="80"/>
      </w:pPr>
      <w:r>
        <w:rPr>
          <w:i w:val="0"/>
          <w:sz w:val="20"/>
        </w:rPr>
        <w:t>Any Reportable Event must be raised within 24 hours via (a) the line manager, (b) the Group Whistleblowing Hotline (anonymous, run by an independent provider) or (c) directly to the Chair of the Audit Committee. Retaliation against anyone making a good-faith report is itself a disciplinary offence.</w:t>
      </w:r>
    </w:p>
    <w:p>
      <w:pPr>
        <w:pStyle w:val="ListBullet"/>
        <w:spacing w:after="40"/>
      </w:pPr>
      <w:r>
        <w:rPr>
          <w:sz w:val="20"/>
        </w:rPr>
        <w:t>Whistleblowing hotline (24/7): +60 3-XXXX-9911 / whistleblowing@zava-group.com (encrypted)</w:t>
      </w:r>
    </w:p>
    <w:p>
      <w:pPr>
        <w:pStyle w:val="ListBullet"/>
        <w:spacing w:after="40"/>
      </w:pPr>
      <w:r>
        <w:rPr>
          <w:sz w:val="20"/>
        </w:rPr>
        <w:t>Independent provider: Centralia Ethics Line (case management)</w:t>
      </w:r>
    </w:p>
    <w:p>
      <w:pPr>
        <w:pStyle w:val="ListBullet"/>
        <w:spacing w:after="40"/>
      </w:pPr>
      <w:r>
        <w:rPr>
          <w:sz w:val="20"/>
        </w:rPr>
        <w:t>Audit Committee Chair (escalation): board-secretariat@zava-group.com</w:t>
      </w:r>
    </w:p>
    <w:p>
      <w:pPr>
        <w:spacing w:before="240" w:after="80"/>
      </w:pPr>
      <w:r>
        <w:rPr>
          <w:b/>
          <w:color w:val="1F2D55"/>
          <w:sz w:val="26"/>
        </w:rPr>
        <w:t>7. Roles and responsibilities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2D55"/>
          </w:tcPr>
          <w:p>
            <w:r>
              <w:rPr>
                <w:b/>
                <w:color w:val="FFFFFF"/>
                <w:sz w:val="18"/>
              </w:rPr>
              <w:t>Role</w:t>
            </w:r>
          </w:p>
        </w:tc>
        <w:tc>
          <w:tcPr>
            <w:tcW w:type="dxa" w:w="4320"/>
            <w:shd w:val="clear" w:color="auto" w:fill="1F2D55"/>
          </w:tcPr>
          <w:p>
            <w:r>
              <w:rPr>
                <w:b/>
                <w:color w:val="FFFFFF"/>
                <w:sz w:val="18"/>
              </w:rPr>
              <w:t>Responsibility</w:t>
            </w:r>
          </w:p>
        </w:tc>
      </w:tr>
      <w:tr>
        <w:tc>
          <w:tcPr>
            <w:tcW w:type="dxa" w:w="4320"/>
          </w:tcPr>
          <w:p>
            <w:r>
              <w:rPr>
                <w:sz w:val="18"/>
              </w:rPr>
              <w:t>Board / Audit Committee</w:t>
            </w:r>
          </w:p>
        </w:tc>
        <w:tc>
          <w:tcPr>
            <w:tcW w:type="dxa" w:w="4320"/>
          </w:tcPr>
          <w:p>
            <w:r>
              <w:rPr>
                <w:sz w:val="18"/>
              </w:rPr>
              <w:t>Approve policy; receive thematic incident reports; commission deep-dive reviews.</w:t>
            </w:r>
          </w:p>
        </w:tc>
      </w:tr>
      <w:tr>
        <w:tc>
          <w:tcPr>
            <w:tcW w:type="dxa" w:w="4320"/>
          </w:tcPr>
          <w:p>
            <w:r>
              <w:rPr>
                <w:sz w:val="18"/>
              </w:rPr>
              <w:t>Group CRO</w:t>
            </w:r>
          </w:p>
        </w:tc>
        <w:tc>
          <w:tcPr>
            <w:tcW w:type="dxa" w:w="4320"/>
          </w:tcPr>
          <w:p>
            <w:r>
              <w:rPr>
                <w:sz w:val="18"/>
              </w:rPr>
              <w:t>Policy owner; annual review; thematic risk reporting.</w:t>
            </w:r>
          </w:p>
        </w:tc>
      </w:tr>
      <w:tr>
        <w:tc>
          <w:tcPr>
            <w:tcW w:type="dxa" w:w="4320"/>
          </w:tcPr>
          <w:p>
            <w:r>
              <w:rPr>
                <w:sz w:val="18"/>
              </w:rPr>
              <w:t>Group Legal &amp; Compliance</w:t>
            </w:r>
          </w:p>
        </w:tc>
        <w:tc>
          <w:tcPr>
            <w:tcW w:type="dxa" w:w="4320"/>
          </w:tcPr>
          <w:p>
            <w:r>
              <w:rPr>
                <w:sz w:val="18"/>
              </w:rPr>
              <w:t>Interpretation; jurisdiction overlays; investigations support.</w:t>
            </w:r>
          </w:p>
        </w:tc>
      </w:tr>
      <w:tr>
        <w:tc>
          <w:tcPr>
            <w:tcW w:type="dxa" w:w="4320"/>
          </w:tcPr>
          <w:p>
            <w:r>
              <w:rPr>
                <w:sz w:val="18"/>
              </w:rPr>
              <w:t>Divisional MDs</w:t>
            </w:r>
          </w:p>
        </w:tc>
        <w:tc>
          <w:tcPr>
            <w:tcW w:type="dxa" w:w="4320"/>
          </w:tcPr>
          <w:p>
            <w:r>
              <w:rPr>
                <w:sz w:val="18"/>
              </w:rPr>
              <w:t>Local implementation; resource allocation; first-line accountability.</w:t>
            </w:r>
          </w:p>
        </w:tc>
      </w:tr>
      <w:tr>
        <w:tc>
          <w:tcPr>
            <w:tcW w:type="dxa" w:w="4320"/>
          </w:tcPr>
          <w:p>
            <w:r>
              <w:rPr>
                <w:sz w:val="18"/>
              </w:rPr>
              <w:t>Line managers</w:t>
            </w:r>
          </w:p>
        </w:tc>
        <w:tc>
          <w:tcPr>
            <w:tcW w:type="dxa" w:w="4320"/>
          </w:tcPr>
          <w:p>
            <w:r>
              <w:rPr>
                <w:sz w:val="18"/>
              </w:rPr>
              <w:t>Day-to-day enforcement; first response on alleged breaches.</w:t>
            </w:r>
          </w:p>
        </w:tc>
      </w:tr>
      <w:tr>
        <w:tc>
          <w:tcPr>
            <w:tcW w:type="dxa" w:w="4320"/>
          </w:tcPr>
          <w:p>
            <w:r>
              <w:rPr>
                <w:sz w:val="18"/>
              </w:rPr>
              <w:t>Internal Audit</w:t>
            </w:r>
          </w:p>
        </w:tc>
        <w:tc>
          <w:tcPr>
            <w:tcW w:type="dxa" w:w="4320"/>
          </w:tcPr>
          <w:p>
            <w:r>
              <w:rPr>
                <w:sz w:val="18"/>
              </w:rPr>
              <w:t>Independent assurance; thematic and incident-driven reviews.</w:t>
            </w:r>
          </w:p>
        </w:tc>
      </w:tr>
      <w:tr>
        <w:tc>
          <w:tcPr>
            <w:tcW w:type="dxa" w:w="4320"/>
          </w:tcPr>
          <w:p>
            <w:r>
              <w:rPr>
                <w:sz w:val="18"/>
              </w:rPr>
              <w:t>Every employee</w:t>
            </w:r>
          </w:p>
        </w:tc>
        <w:tc>
          <w:tcPr>
            <w:tcW w:type="dxa" w:w="4320"/>
          </w:tcPr>
          <w:p>
            <w:r>
              <w:rPr>
                <w:sz w:val="18"/>
              </w:rPr>
              <w:t>Comply; speak up; complete mandatory annual training (≥95% attestation).</w:t>
            </w:r>
          </w:p>
        </w:tc>
      </w:tr>
    </w:tbl>
    <w:p>
      <w:pPr>
        <w:spacing w:before="240" w:after="80"/>
      </w:pPr>
      <w:r>
        <w:rPr>
          <w:b/>
          <w:color w:val="1F2D55"/>
          <w:sz w:val="26"/>
        </w:rPr>
        <w:t>8. Training and attestation</w:t>
      </w:r>
    </w:p>
    <w:p>
      <w:pPr>
        <w:spacing w:after="80"/>
      </w:pPr>
      <w:r>
        <w:rPr>
          <w:i w:val="0"/>
          <w:sz w:val="20"/>
        </w:rPr>
        <w:t>All employees in scope complete mandatory annual e-learning, supplemented by role-specific in-person training for high-risk functions (Procurement, Finance, Treasury, Legal, M&amp;A, Sales). Annual attestation is captured in the Workday HR system; completion is reported to the Audit Committee.</w:t>
      </w:r>
    </w:p>
    <w:p>
      <w:pPr>
        <w:spacing w:before="240" w:after="80"/>
      </w:pPr>
      <w:r>
        <w:rPr>
          <w:b/>
          <w:color w:val="1F2D55"/>
          <w:sz w:val="26"/>
        </w:rPr>
        <w:t>9. Exceptions</w:t>
      </w:r>
    </w:p>
    <w:p>
      <w:pPr>
        <w:spacing w:after="80"/>
      </w:pPr>
      <w:r>
        <w:rPr>
          <w:i w:val="0"/>
          <w:sz w:val="20"/>
        </w:rPr>
        <w:t>Exceptions to this policy require written approval by the Group CRO and, where the exception is material, by the Audit Committee. Exception requests are logged in the Policy Exceptions Register and reviewed quarterly.</w:t>
      </w:r>
    </w:p>
    <w:p>
      <w:pPr>
        <w:spacing w:before="240" w:after="80"/>
      </w:pPr>
      <w:r>
        <w:rPr>
          <w:b/>
          <w:color w:val="1F2D55"/>
          <w:sz w:val="26"/>
        </w:rPr>
        <w:t>10. Review and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Version</w:t>
            </w:r>
          </w:p>
        </w:tc>
        <w:tc>
          <w:tcPr>
            <w:tcW w:type="dxa" w:w="2160"/>
            <w:shd w:val="clear" w:color="auto" w:fill="1F2D55"/>
          </w:tcPr>
          <w:p>
            <w:r>
              <w:rPr>
                <w:b/>
                <w:color w:val="FFFFFF"/>
                <w:sz w:val="18"/>
              </w:rPr>
              <w:t>Date</w:t>
            </w:r>
          </w:p>
        </w:tc>
        <w:tc>
          <w:tcPr>
            <w:tcW w:type="dxa" w:w="2160"/>
            <w:shd w:val="clear" w:color="auto" w:fill="1F2D55"/>
          </w:tcPr>
          <w:p>
            <w:r>
              <w:rPr>
                <w:b/>
                <w:color w:val="FFFFFF"/>
                <w:sz w:val="18"/>
              </w:rPr>
              <w:t>Author</w:t>
            </w:r>
          </w:p>
        </w:tc>
        <w:tc>
          <w:tcPr>
            <w:tcW w:type="dxa" w:w="2160"/>
            <w:shd w:val="clear" w:color="auto" w:fill="1F2D55"/>
          </w:tcPr>
          <w:p>
            <w:r>
              <w:rPr>
                <w:b/>
                <w:color w:val="FFFFFF"/>
                <w:sz w:val="18"/>
              </w:rPr>
              <w:t>Summary of changes</w:t>
            </w:r>
          </w:p>
        </w:tc>
      </w:tr>
      <w:tr>
        <w:tc>
          <w:tcPr>
            <w:tcW w:type="dxa" w:w="2160"/>
          </w:tcPr>
          <w:p>
            <w:r>
              <w:rPr>
                <w:sz w:val="18"/>
              </w:rPr>
              <w:t>1.0</w:t>
            </w:r>
          </w:p>
        </w:tc>
        <w:tc>
          <w:tcPr>
            <w:tcW w:type="dxa" w:w="2160"/>
          </w:tcPr>
          <w:p>
            <w:r>
              <w:rPr>
                <w:sz w:val="18"/>
              </w:rPr>
              <w:t>Mar 2022</w:t>
            </w:r>
          </w:p>
        </w:tc>
        <w:tc>
          <w:tcPr>
            <w:tcW w:type="dxa" w:w="2160"/>
          </w:tcPr>
          <w:p>
            <w:r>
              <w:rPr>
                <w:sz w:val="18"/>
              </w:rPr>
              <w:t>Group CRO</w:t>
            </w:r>
          </w:p>
        </w:tc>
        <w:tc>
          <w:tcPr>
            <w:tcW w:type="dxa" w:w="2160"/>
          </w:tcPr>
          <w:p>
            <w:r>
              <w:rPr>
                <w:sz w:val="18"/>
              </w:rPr>
              <w:t>First issue.</w:t>
            </w:r>
          </w:p>
        </w:tc>
      </w:tr>
      <w:tr>
        <w:tc>
          <w:tcPr>
            <w:tcW w:type="dxa" w:w="2160"/>
          </w:tcPr>
          <w:p>
            <w:r>
              <w:rPr>
                <w:sz w:val="18"/>
              </w:rPr>
              <w:t>2.0</w:t>
            </w:r>
          </w:p>
        </w:tc>
        <w:tc>
          <w:tcPr>
            <w:tcW w:type="dxa" w:w="2160"/>
          </w:tcPr>
          <w:p>
            <w:r>
              <w:rPr>
                <w:sz w:val="18"/>
              </w:rPr>
              <w:t>Apr 2024</w:t>
            </w:r>
          </w:p>
        </w:tc>
        <w:tc>
          <w:tcPr>
            <w:tcW w:type="dxa" w:w="2160"/>
          </w:tcPr>
          <w:p>
            <w:r>
              <w:rPr>
                <w:sz w:val="18"/>
              </w:rPr>
              <w:t>Group CRO</w:t>
            </w:r>
          </w:p>
        </w:tc>
        <w:tc>
          <w:tcPr>
            <w:tcW w:type="dxa" w:w="2160"/>
          </w:tcPr>
          <w:p>
            <w:r>
              <w:rPr>
                <w:sz w:val="18"/>
              </w:rPr>
              <w:t>Aligned with BNM/OJK guidance; refreshed authority matrix.</w:t>
            </w:r>
          </w:p>
        </w:tc>
      </w:tr>
      <w:tr>
        <w:tc>
          <w:tcPr>
            <w:tcW w:type="dxa" w:w="2160"/>
          </w:tcPr>
          <w:p>
            <w:r>
              <w:rPr>
                <w:sz w:val="18"/>
              </w:rPr>
              <w:t>3.0</w:t>
            </w:r>
          </w:p>
        </w:tc>
        <w:tc>
          <w:tcPr>
            <w:tcW w:type="dxa" w:w="2160"/>
          </w:tcPr>
          <w:p>
            <w:r>
              <w:rPr>
                <w:sz w:val="18"/>
              </w:rPr>
              <w:t>Feb 2026</w:t>
            </w:r>
          </w:p>
        </w:tc>
        <w:tc>
          <w:tcPr>
            <w:tcW w:type="dxa" w:w="2160"/>
          </w:tcPr>
          <w:p>
            <w:r>
              <w:rPr>
                <w:sz w:val="18"/>
              </w:rPr>
              <w:t>Group CRO</w:t>
            </w:r>
          </w:p>
        </w:tc>
        <w:tc>
          <w:tcPr>
            <w:tcW w:type="dxa" w:w="2160"/>
          </w:tcPr>
          <w:p>
            <w:r>
              <w:rPr>
                <w:sz w:val="18"/>
              </w:rPr>
              <w:t>ESG, data-privacy and AI-tool clauses introduced.</w:t>
            </w:r>
          </w:p>
        </w:tc>
      </w:tr>
      <w:tr>
        <w:tc>
          <w:tcPr>
            <w:tcW w:type="dxa" w:w="2160"/>
          </w:tcPr>
          <w:p>
            <w:r>
              <w:rPr>
                <w:sz w:val="18"/>
              </w:rPr>
              <w:t>3.1</w:t>
            </w:r>
          </w:p>
        </w:tc>
        <w:tc>
          <w:tcPr>
            <w:tcW w:type="dxa" w:w="2160"/>
          </w:tcPr>
          <w:p>
            <w:r>
              <w:rPr>
                <w:sz w:val="18"/>
              </w:rPr>
              <w:t>Apr 2026</w:t>
            </w:r>
          </w:p>
        </w:tc>
        <w:tc>
          <w:tcPr>
            <w:tcW w:type="dxa" w:w="2160"/>
          </w:tcPr>
          <w:p>
            <w:r>
              <w:rPr>
                <w:sz w:val="18"/>
              </w:rPr>
              <w:t>Group Legal</w:t>
            </w:r>
          </w:p>
        </w:tc>
        <w:tc>
          <w:tcPr>
            <w:tcW w:type="dxa" w:w="2160"/>
          </w:tcPr>
          <w:p>
            <w:r>
              <w:rPr>
                <w:sz w:val="18"/>
              </w:rPr>
              <w:t>Editorial; jurisdiction overlays for ID, MY, SG.</w:t>
            </w:r>
          </w:p>
        </w:tc>
      </w:tr>
      <w:tr>
        <w:tc>
          <w:tcPr>
            <w:tcW w:type="dxa" w:w="2160"/>
          </w:tcPr>
          <w:p>
            <w:r>
              <w:rPr>
                <w:sz w:val="18"/>
              </w:rPr>
              <w:t>3.2</w:t>
            </w:r>
          </w:p>
        </w:tc>
        <w:tc>
          <w:tcPr>
            <w:tcW w:type="dxa" w:w="2160"/>
          </w:tcPr>
          <w:p>
            <w:r>
              <w:rPr>
                <w:sz w:val="18"/>
              </w:rPr>
              <w:t>May 2026</w:t>
            </w:r>
          </w:p>
        </w:tc>
        <w:tc>
          <w:tcPr>
            <w:tcW w:type="dxa" w:w="2160"/>
          </w:tcPr>
          <w:p>
            <w:r>
              <w:rPr>
                <w:sz w:val="18"/>
              </w:rPr>
              <w:t>Group CRO</w:t>
            </w:r>
          </w:p>
        </w:tc>
        <w:tc>
          <w:tcPr>
            <w:tcW w:type="dxa" w:w="2160"/>
          </w:tcPr>
          <w:p>
            <w:r>
              <w:rPr>
                <w:sz w:val="18"/>
              </w:rPr>
              <w:t>Whistleblowing channel updated; training matrix refreshed.</w:t>
            </w:r>
          </w:p>
        </w:tc>
      </w:tr>
    </w:tbl>
    <w:p>
      <w:pPr>
        <w:spacing w:before="240" w:after="80"/>
      </w:pPr>
      <w:r>
        <w:rPr>
          <w:b/>
          <w:color w:val="1F2D55"/>
          <w:sz w:val="26"/>
        </w:rPr>
        <w:t>Appendix A — Group Authority Matrix (extract)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2D55"/>
          </w:tcPr>
          <w:p>
            <w:r>
              <w:rPr>
                <w:b/>
                <w:color w:val="FFFFFF"/>
                <w:sz w:val="18"/>
              </w:rPr>
              <w:t>Decision</w:t>
            </w:r>
          </w:p>
        </w:tc>
        <w:tc>
          <w:tcPr>
            <w:tcW w:type="dxa" w:w="2880"/>
            <w:shd w:val="clear" w:color="auto" w:fill="1F2D55"/>
          </w:tcPr>
          <w:p>
            <w:r>
              <w:rPr>
                <w:b/>
                <w:color w:val="FFFFFF"/>
                <w:sz w:val="18"/>
              </w:rPr>
              <w:t>Up to MYR</w:t>
            </w:r>
          </w:p>
        </w:tc>
        <w:tc>
          <w:tcPr>
            <w:tcW w:type="dxa" w:w="2880"/>
            <w:shd w:val="clear" w:color="auto" w:fill="1F2D55"/>
          </w:tcPr>
          <w:p>
            <w:r>
              <w:rPr>
                <w:b/>
                <w:color w:val="FFFFFF"/>
                <w:sz w:val="18"/>
              </w:rPr>
              <w:t>Approver</w:t>
            </w:r>
          </w:p>
        </w:tc>
      </w:tr>
      <w:tr>
        <w:tc>
          <w:tcPr>
            <w:tcW w:type="dxa" w:w="2880"/>
          </w:tcPr>
          <w:p>
            <w:r>
              <w:rPr>
                <w:sz w:val="18"/>
              </w:rPr>
              <w:t>Operating expense</w:t>
            </w:r>
          </w:p>
        </w:tc>
        <w:tc>
          <w:tcPr>
            <w:tcW w:type="dxa" w:w="2880"/>
          </w:tcPr>
          <w:p>
            <w:r>
              <w:rPr>
                <w:sz w:val="18"/>
              </w:rPr>
              <w:t>100,000</w:t>
            </w:r>
          </w:p>
        </w:tc>
        <w:tc>
          <w:tcPr>
            <w:tcW w:type="dxa" w:w="2880"/>
          </w:tcPr>
          <w:p>
            <w:r>
              <w:rPr>
                <w:sz w:val="18"/>
              </w:rPr>
              <w:t>Department head</w:t>
            </w:r>
          </w:p>
        </w:tc>
      </w:tr>
      <w:tr>
        <w:tc>
          <w:tcPr>
            <w:tcW w:type="dxa" w:w="2880"/>
          </w:tcPr>
          <w:p>
            <w:r>
              <w:rPr>
                <w:sz w:val="18"/>
              </w:rPr>
              <w:t>Operating expense</w:t>
            </w:r>
          </w:p>
        </w:tc>
        <w:tc>
          <w:tcPr>
            <w:tcW w:type="dxa" w:w="2880"/>
          </w:tcPr>
          <w:p>
            <w:r>
              <w:rPr>
                <w:sz w:val="18"/>
              </w:rPr>
              <w:t>1,000,000</w:t>
            </w:r>
          </w:p>
        </w:tc>
        <w:tc>
          <w:tcPr>
            <w:tcW w:type="dxa" w:w="2880"/>
          </w:tcPr>
          <w:p>
            <w:r>
              <w:rPr>
                <w:sz w:val="18"/>
              </w:rPr>
              <w:t>Divisional CFO</w:t>
            </w:r>
          </w:p>
        </w:tc>
      </w:tr>
      <w:tr>
        <w:tc>
          <w:tcPr>
            <w:tcW w:type="dxa" w:w="2880"/>
          </w:tcPr>
          <w:p>
            <w:r>
              <w:rPr>
                <w:sz w:val="18"/>
              </w:rPr>
              <w:t>Operating expense</w:t>
            </w:r>
          </w:p>
        </w:tc>
        <w:tc>
          <w:tcPr>
            <w:tcW w:type="dxa" w:w="2880"/>
          </w:tcPr>
          <w:p>
            <w:r>
              <w:rPr>
                <w:sz w:val="18"/>
              </w:rPr>
              <w:t>10,000,000</w:t>
            </w:r>
          </w:p>
        </w:tc>
        <w:tc>
          <w:tcPr>
            <w:tcW w:type="dxa" w:w="2880"/>
          </w:tcPr>
          <w:p>
            <w:r>
              <w:rPr>
                <w:sz w:val="18"/>
              </w:rPr>
              <w:t>Group CFO</w:t>
            </w:r>
          </w:p>
        </w:tc>
      </w:tr>
      <w:tr>
        <w:tc>
          <w:tcPr>
            <w:tcW w:type="dxa" w:w="2880"/>
          </w:tcPr>
          <w:p>
            <w:r>
              <w:rPr>
                <w:sz w:val="18"/>
              </w:rPr>
              <w:t>Operating expense</w:t>
            </w:r>
          </w:p>
        </w:tc>
        <w:tc>
          <w:tcPr>
            <w:tcW w:type="dxa" w:w="2880"/>
          </w:tcPr>
          <w:p>
            <w:r>
              <w:rPr>
                <w:sz w:val="18"/>
              </w:rPr>
              <w:t>&gt; 10,000,000</w:t>
            </w:r>
          </w:p>
        </w:tc>
        <w:tc>
          <w:tcPr>
            <w:tcW w:type="dxa" w:w="2880"/>
          </w:tcPr>
          <w:p>
            <w:r>
              <w:rPr>
                <w:sz w:val="18"/>
              </w:rPr>
              <w:t>Group CEO + Board endorsement</w:t>
            </w:r>
          </w:p>
        </w:tc>
      </w:tr>
      <w:tr>
        <w:tc>
          <w:tcPr>
            <w:tcW w:type="dxa" w:w="2880"/>
          </w:tcPr>
          <w:p>
            <w:r>
              <w:rPr>
                <w:sz w:val="18"/>
              </w:rPr>
              <w:t>Capex (single item)</w:t>
            </w:r>
          </w:p>
        </w:tc>
        <w:tc>
          <w:tcPr>
            <w:tcW w:type="dxa" w:w="2880"/>
          </w:tcPr>
          <w:p>
            <w:r>
              <w:rPr>
                <w:sz w:val="18"/>
              </w:rPr>
              <w:t>5,000,000</w:t>
            </w:r>
          </w:p>
        </w:tc>
        <w:tc>
          <w:tcPr>
            <w:tcW w:type="dxa" w:w="2880"/>
          </w:tcPr>
          <w:p>
            <w:r>
              <w:rPr>
                <w:sz w:val="18"/>
              </w:rPr>
              <w:t>Divisional MD + Group CFO</w:t>
            </w:r>
          </w:p>
        </w:tc>
      </w:tr>
      <w:tr>
        <w:tc>
          <w:tcPr>
            <w:tcW w:type="dxa" w:w="2880"/>
          </w:tcPr>
          <w:p>
            <w:r>
              <w:rPr>
                <w:sz w:val="18"/>
              </w:rPr>
              <w:t>Capex (single item)</w:t>
            </w:r>
          </w:p>
        </w:tc>
        <w:tc>
          <w:tcPr>
            <w:tcW w:type="dxa" w:w="2880"/>
          </w:tcPr>
          <w:p>
            <w:r>
              <w:rPr>
                <w:sz w:val="18"/>
              </w:rPr>
              <w:t>&gt; 5,000,000</w:t>
            </w:r>
          </w:p>
        </w:tc>
        <w:tc>
          <w:tcPr>
            <w:tcW w:type="dxa" w:w="2880"/>
          </w:tcPr>
          <w:p>
            <w:r>
              <w:rPr>
                <w:sz w:val="18"/>
              </w:rPr>
              <w:t>Group CEO + Board approval</w:t>
            </w:r>
          </w:p>
        </w:tc>
      </w:tr>
      <w:tr>
        <w:tc>
          <w:tcPr>
            <w:tcW w:type="dxa" w:w="2880"/>
          </w:tcPr>
          <w:p>
            <w:r>
              <w:rPr>
                <w:sz w:val="18"/>
              </w:rPr>
              <w:t>M&amp;A / divestment</w:t>
            </w:r>
          </w:p>
        </w:tc>
        <w:tc>
          <w:tcPr>
            <w:tcW w:type="dxa" w:w="2880"/>
          </w:tcPr>
          <w:p>
            <w:r>
              <w:rPr>
                <w:sz w:val="18"/>
              </w:rPr>
              <w:t>any</w:t>
            </w:r>
          </w:p>
        </w:tc>
        <w:tc>
          <w:tcPr>
            <w:tcW w:type="dxa" w:w="2880"/>
          </w:tcPr>
          <w:p>
            <w:r>
              <w:rPr>
                <w:sz w:val="18"/>
              </w:rPr>
              <w:t>Board approval</w:t>
            </w:r>
          </w:p>
        </w:tc>
      </w:tr>
      <w:tr>
        <w:tc>
          <w:tcPr>
            <w:tcW w:type="dxa" w:w="2880"/>
          </w:tcPr>
          <w:p>
            <w:r>
              <w:rPr>
                <w:sz w:val="18"/>
              </w:rPr>
              <w:t>Treasury — new bank/facility</w:t>
            </w:r>
          </w:p>
        </w:tc>
        <w:tc>
          <w:tcPr>
            <w:tcW w:type="dxa" w:w="2880"/>
          </w:tcPr>
          <w:p>
            <w:r>
              <w:rPr>
                <w:sz w:val="18"/>
              </w:rPr>
              <w:t>any</w:t>
            </w:r>
          </w:p>
        </w:tc>
        <w:tc>
          <w:tcPr>
            <w:tcW w:type="dxa" w:w="2880"/>
          </w:tcPr>
          <w:p>
            <w:r>
              <w:rPr>
                <w:sz w:val="18"/>
              </w:rPr>
              <w:t>Group CFO + Audit Cmte note</w:t>
            </w:r>
          </w:p>
        </w:tc>
      </w:tr>
    </w:tbl>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