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Strategic Priorities 2030</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DOC-2025-599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04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HR_Strategic_Priorities_2030.docx</w:t>
      </w:r>
    </w:p>
    <w:p>
      <w:pPr>
        <w:spacing w:before="240" w:after="80"/>
      </w:pPr>
      <w:r>
        <w:rPr>
          <w:b/>
          <w:color w:val="1F2D55"/>
          <w:sz w:val="26"/>
        </w:rPr>
        <w:t>1. Purpose and context</w:t>
      </w:r>
    </w:p>
    <w:p>
      <w:pPr>
        <w:spacing w:after="80"/>
      </w:pPr>
      <w:r>
        <w:rPr>
          <w:i w:val="0"/>
          <w:sz w:val="20"/>
        </w:rPr>
        <w:t>This document covers the subject matter referenced in the title above (HR Strategic Priorities 2030).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