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IB Management Bios</w:t>
      </w:r>
    </w:p>
    <w:p>
      <w:pPr>
        <w:spacing w:after="200"/>
      </w:pPr>
      <w:r>
        <w:rPr>
          <w:i/>
          <w:color w:val="4B5B7C"/>
          <w:sz w:val="22"/>
        </w:rPr>
        <w:t>Candidate Profiles · Confidential</w:t>
      </w:r>
    </w:p>
    <w:p>
      <w:pPr>
        <w:spacing w:after="40"/>
      </w:pPr>
      <w:r>
        <w:rPr>
          <w:b/>
          <w:color w:val="1F2D55"/>
          <w:sz w:val="20"/>
        </w:rPr>
        <w:t xml:space="preserve">Purpose:  </w:t>
      </w:r>
      <w:r>
        <w:rPr>
          <w:sz w:val="20"/>
        </w:rPr>
        <w:t>Shortlist review for the role indicated in the file title</w:t>
      </w:r>
    </w:p>
    <w:p>
      <w:pPr>
        <w:spacing w:after="40"/>
      </w:pPr>
      <w:r>
        <w:rPr>
          <w:b/>
          <w:color w:val="1F2D55"/>
          <w:sz w:val="20"/>
        </w:rPr>
        <w:t xml:space="preserve">Prepared by:  </w:t>
      </w:r>
      <w:r>
        <w:rPr>
          <w:sz w:val="20"/>
        </w:rPr>
        <w:t>Group Talent Acquisition (with Russell Reynolds support)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14 May 2026</w:t>
      </w:r>
    </w:p>
    <w:p>
      <w:pPr>
        <w:spacing w:after="40"/>
      </w:pPr>
      <w:r>
        <w:rPr>
          <w:b/>
          <w:color w:val="1F2D55"/>
          <w:sz w:val="20"/>
        </w:rPr>
        <w:t xml:space="preserve">Classification:  </w:t>
      </w:r>
      <w:r>
        <w:rPr>
          <w:sz w:val="20"/>
        </w:rPr>
        <w:t>Confidential — HR Committee distribution only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IB_Management_Bios.docx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Six candidates progressed to the long-list; five completed initial interviews; three are presented for shortlist review. All three meet the role-critical criteria. Each has differentiated strengths and trade-offs noted below. References are pending; offer trajectory subject to Compensation Committee.</w:t>
      </w:r>
    </w:p>
    <w:p>
      <w:pPr>
        <w:spacing w:before="240" w:after="80"/>
      </w:pPr>
      <w:r>
        <w:rPr>
          <w:b/>
          <w:color w:val="1F2D55"/>
          <w:sz w:val="26"/>
        </w:rPr>
        <w:t>Candidate 1 — Candidate A — Dr Aisyah Rahman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COO (Industrial Manufacturing peer)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INSEAD; BE (Hons) Mechanical, UPM; Six Sigma Black Belt.</w:t>
      </w:r>
    </w:p>
    <w:p>
      <w:pPr>
        <w:spacing w:after="80"/>
      </w:pPr>
      <w:r>
        <w:rPr>
          <w:i w:val="0"/>
          <w:sz w:val="20"/>
        </w:rPr>
        <w:t>18 years operating leadership across multi-site manufacturing in MY/ID/TH. Most recently led a USD 2.1B operating unit; delivered MYR 380m run-rate from a 3-year continuous-improvement programme. Board director on two ASEAN-listed industrials.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Operational excellence — top-quartile delivery track record.</w:t>
      </w:r>
    </w:p>
    <w:p>
      <w:pPr>
        <w:pStyle w:val="ListBullet"/>
        <w:spacing w:after="40"/>
      </w:pPr>
      <w:r>
        <w:rPr>
          <w:sz w:val="20"/>
        </w:rPr>
        <w:t>Cross-border execution — fluent in MY, ID, TH operating contexts.</w:t>
      </w:r>
    </w:p>
    <w:p>
      <w:pPr>
        <w:pStyle w:val="ListBullet"/>
        <w:spacing w:after="40"/>
      </w:pPr>
      <w:r>
        <w:rPr>
          <w:sz w:val="20"/>
        </w:rPr>
        <w:t>Talent magnet — three of her direct reports are now CEOs elsewhere.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Limited consumer / digital exposure — would benefit from a pairing.</w:t>
      </w:r>
    </w:p>
    <w:p>
      <w:pPr>
        <w:pStyle w:val="ListBullet"/>
        <w:spacing w:after="40"/>
      </w:pPr>
      <w:r>
        <w:rPr>
          <w:sz w:val="20"/>
        </w:rPr>
        <w:t>Compensation expectation at the top of band — managed via LTI mix.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2 — Candidate B — Mr Daniel Tan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MD (Diversified ASEAN holding)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Wharton; BSc (Hons) Economics, LSE.</w:t>
      </w:r>
    </w:p>
    <w:p>
      <w:pPr>
        <w:spacing w:after="80"/>
      </w:pPr>
      <w:r>
        <w:rPr>
          <w:i w:val="0"/>
          <w:sz w:val="20"/>
        </w:rPr>
        <w:t>22 years in diversified groups — last 7 as Group MD of a USD 5B holding (Banking, Property, Consumer). Listed-company chair experience. Active M&amp;A and portfolio rotation track record (USD 1.4B divestments completed).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Portfolio management — proven inorganic-and-organic balancing.</w:t>
      </w:r>
    </w:p>
    <w:p>
      <w:pPr>
        <w:pStyle w:val="ListBullet"/>
        <w:spacing w:after="40"/>
      </w:pPr>
      <w:r>
        <w:rPr>
          <w:sz w:val="20"/>
        </w:rPr>
        <w:t>Capital-markets fluency — strong rapport with sell-side analysts.</w:t>
      </w:r>
    </w:p>
    <w:p>
      <w:pPr>
        <w:pStyle w:val="ListBullet"/>
        <w:spacing w:after="40"/>
      </w:pPr>
      <w:r>
        <w:rPr>
          <w:sz w:val="20"/>
        </w:rPr>
        <w:t>Strategic clarity — articulates simple, ambitious narratives.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Operational depth lighter than Candidate A.</w:t>
      </w:r>
    </w:p>
    <w:p>
      <w:pPr>
        <w:pStyle w:val="ListBullet"/>
        <w:spacing w:after="40"/>
      </w:pPr>
      <w:r>
        <w:rPr>
          <w:sz w:val="20"/>
        </w:rPr>
        <w:t>Profile high; potentially viewed as 'CEO-in-waiting' externally.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3 — Candidate C — Ms Priya Sundaram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CSO (FMCG conglomerate)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Stanford; BA Princeton (Economics).</w:t>
      </w:r>
    </w:p>
    <w:p>
      <w:pPr>
        <w:spacing w:after="80"/>
      </w:pPr>
      <w:r>
        <w:rPr>
          <w:i w:val="0"/>
          <w:sz w:val="20"/>
        </w:rPr>
        <w:t>16 years strategy / M&amp;A leadership. Currently Group CSO; previously partner at McKinsey Singapore. Led 3 transformational programmes; chairs the Innovation Council. Active board director on a Singapore-listed name.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Strategic depth — exceptional analytical and storytelling toolkit.</w:t>
      </w:r>
    </w:p>
    <w:p>
      <w:pPr>
        <w:pStyle w:val="ListBullet"/>
        <w:spacing w:after="40"/>
      </w:pPr>
      <w:r>
        <w:rPr>
          <w:sz w:val="20"/>
        </w:rPr>
        <w:t>Network — strong external relationships in PE / venture / advisory.</w:t>
      </w:r>
    </w:p>
    <w:p>
      <w:pPr>
        <w:pStyle w:val="ListBullet"/>
        <w:spacing w:after="40"/>
      </w:pPr>
      <w:r>
        <w:rPr>
          <w:sz w:val="20"/>
        </w:rPr>
        <w:t>Energy and intellectual horsepower of a peer-group standout.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Operating-line accountability shorter than Candidates A and B.</w:t>
      </w:r>
    </w:p>
    <w:p>
      <w:pPr>
        <w:pStyle w:val="ListBullet"/>
        <w:spacing w:after="40"/>
      </w:pPr>
      <w:r>
        <w:rPr>
          <w:sz w:val="20"/>
        </w:rPr>
        <w:t>Has expressed preference for Singapore base; willing to relocate.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Comparative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A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B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Operating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Strategic clarity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Talent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Stakeholder fluency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Cultural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ESG sensibility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(weighted)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Recommendation to HR Committee</w:t>
      </w:r>
    </w:p>
    <w:p>
      <w:pPr>
        <w:spacing w:after="80"/>
      </w:pPr>
      <w:r>
        <w:rPr>
          <w:i w:val="0"/>
          <w:sz w:val="20"/>
        </w:rPr>
        <w:t>Recommend progressing Candidates A and B to final-round interviews with the Chair and the GroupExCo. Candidate C is held in reserve subject to outcome. Comp Committee to align compensation envelope before final offers.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