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IE Bilingual Content Library</w:t>
      </w:r>
    </w:p>
    <w:p>
      <w:pPr>
        <w:spacing w:after="200"/>
      </w:pPr>
      <w:r>
        <w:rPr>
          <w:i/>
          <w:color w:val="4B5B7C"/>
          <w:sz w:val="22"/>
        </w:rPr>
        <w:t>Working Document · Zava Conglomerate</w:t>
      </w:r>
    </w:p>
    <w:p>
      <w:pPr>
        <w:spacing w:after="40"/>
      </w:pPr>
      <w:r>
        <w:rPr>
          <w:b/>
          <w:color w:val="1F2D55"/>
          <w:sz w:val="20"/>
        </w:rPr>
        <w:t xml:space="preserve">Document reference:  </w:t>
      </w:r>
      <w:r>
        <w:rPr>
          <w:sz w:val="20"/>
        </w:rPr>
        <w:t>DOC-2026-160</w:t>
      </w:r>
    </w:p>
    <w:p>
      <w:pPr>
        <w:spacing w:after="40"/>
      </w:pPr>
      <w:r>
        <w:rPr>
          <w:b/>
          <w:color w:val="1F2D55"/>
          <w:sz w:val="20"/>
        </w:rPr>
        <w:t xml:space="preserve">Prepared by:  </w:t>
      </w:r>
      <w:r>
        <w:rPr>
          <w:sz w:val="20"/>
        </w:rPr>
        <w:t>Zava Conglomerate working team</w:t>
      </w:r>
    </w:p>
    <w:p>
      <w:pPr>
        <w:spacing w:after="40"/>
      </w:pPr>
      <w:r>
        <w:rPr>
          <w:b/>
          <w:color w:val="1F2D55"/>
          <w:sz w:val="20"/>
        </w:rPr>
        <w:t xml:space="preserve">Date:  </w:t>
      </w:r>
      <w:r>
        <w:rPr>
          <w:sz w:val="20"/>
        </w:rPr>
        <w:t>03 May 2026</w:t>
      </w:r>
    </w:p>
    <w:p>
      <w:pPr>
        <w:spacing w:after="40"/>
      </w:pPr>
      <w:r>
        <w:rPr>
          <w:b/>
          <w:color w:val="1F2D55"/>
          <w:sz w:val="20"/>
        </w:rPr>
        <w:t xml:space="preserve">Classification:  </w:t>
      </w:r>
      <w:r>
        <w:rPr>
          <w:sz w:val="20"/>
        </w:rPr>
        <w:t>Internal</w:t>
      </w:r>
    </w:p>
    <w:p>
      <w:pPr>
        <w:spacing w:after="40"/>
      </w:pPr>
      <w:r>
        <w:rPr>
          <w:b/>
          <w:color w:val="1F2D55"/>
          <w:sz w:val="20"/>
        </w:rPr>
        <w:t xml:space="preserve">Source file:  </w:t>
      </w:r>
      <w:r>
        <w:rPr>
          <w:sz w:val="20"/>
        </w:rPr>
        <w:t>IE_Bilingual_Content_Library.docx</w:t>
      </w:r>
    </w:p>
    <w:p>
      <w:pPr>
        <w:spacing w:before="240" w:after="80"/>
      </w:pPr>
      <w:r>
        <w:rPr>
          <w:b/>
          <w:color w:val="1F2D55"/>
          <w:sz w:val="26"/>
        </w:rPr>
        <w:t>1. Purpose and context</w:t>
      </w:r>
    </w:p>
    <w:p>
      <w:pPr>
        <w:spacing w:after="80"/>
      </w:pPr>
      <w:r>
        <w:rPr>
          <w:i w:val="0"/>
          <w:sz w:val="20"/>
        </w:rPr>
        <w:t>This document covers the subject matter referenced in the title above (IE Bilingual Content Library). It captures the working materials assembled for review by the relevant stakeholders. The intent is to provide enough context, evidence and recommendations to enable a sound decision or next action.</w:t>
      </w:r>
    </w:p>
    <w:p>
      <w:pPr>
        <w:spacing w:before="240" w:after="80"/>
      </w:pPr>
      <w:r>
        <w:rPr>
          <w:b/>
          <w:color w:val="1F2D55"/>
          <w:sz w:val="26"/>
        </w:rPr>
        <w:t>2. Background</w:t>
      </w:r>
    </w:p>
    <w:p>
      <w:pPr>
        <w:spacing w:after="80"/>
      </w:pPr>
      <w:r>
        <w:rPr>
          <w:i w:val="0"/>
          <w:sz w:val="20"/>
        </w:rPr>
        <w:t>The work documented here has been developed over several weeks by a small team drawn from the relevant divisions and Group functions. It builds on earlier analyses (see Appendix A) and incorporates the feedback received from the first review with the sponsor.</w:t>
      </w:r>
    </w:p>
    <w:p>
      <w:pPr>
        <w:spacing w:before="240" w:after="80"/>
      </w:pPr>
      <w:r>
        <w:rPr>
          <w:b/>
          <w:color w:val="1F2D55"/>
          <w:sz w:val="26"/>
        </w:rPr>
        <w:t>3. Approach and methodology</w:t>
      </w:r>
    </w:p>
    <w:p>
      <w:pPr>
        <w:spacing w:after="80"/>
      </w:pPr>
      <w:r>
        <w:rPr>
          <w:i w:val="0"/>
          <w:sz w:val="20"/>
        </w:rPr>
        <w:t>Three lines of evidence were combined: (i) review of policy and process documentation; (ii) extraction and analysis of transactional and operational data; (iii) interviews with knowledgeable stakeholders. Where possible, findings were triangulated across two or more of these sources.</w:t>
      </w:r>
    </w:p>
    <w:p>
      <w:pPr>
        <w:spacing w:before="240" w:after="80"/>
      </w:pPr>
      <w:r>
        <w:rPr>
          <w:b/>
          <w:color w:val="1F2D55"/>
          <w:sz w:val="26"/>
        </w:rPr>
        <w:t>4. Key findings</w:t>
      </w:r>
    </w:p>
    <w:p>
      <w:pPr>
        <w:spacing w:after="80"/>
      </w:pPr>
      <w:r>
        <w:rPr>
          <w:i w:val="0"/>
          <w:sz w:val="20"/>
        </w:rPr>
        <w:t>The analysis surfaced six findings of material interest. Two are positive observations confirming that current arrangements are working well in the areas examined. Four are issues warranting action — two in the near term, two on a 6-12 month horizon. Each finding is documented with quantified evidence in the relevant appendix.</w:t>
      </w:r>
    </w:p>
    <w:p>
      <w:pPr>
        <w:spacing w:before="240" w:after="80"/>
      </w:pPr>
      <w:r>
        <w:rPr>
          <w:b/>
          <w:color w:val="1F2D55"/>
          <w:sz w:val="26"/>
        </w:rPr>
        <w:t>5. Implications for the business</w:t>
      </w:r>
    </w:p>
    <w:p>
      <w:pPr>
        <w:spacing w:after="80"/>
      </w:pPr>
      <w:r>
        <w:rPr>
          <w:i w:val="0"/>
          <w:sz w:val="20"/>
        </w:rPr>
        <w:t>If acted on, the recommendations would deliver three benefits: improved decision speed, reduced exception rate, and a measurable cost-to-serve improvement. The expected financial impact is in the range of MYR 12-28m annual run-rate, depending on the pace and depth of implementation.</w:t>
      </w:r>
    </w:p>
    <w:p>
      <w:pPr>
        <w:spacing w:before="240" w:after="80"/>
      </w:pPr>
      <w:r>
        <w:rPr>
          <w:b/>
          <w:color w:val="1F2D55"/>
          <w:sz w:val="26"/>
        </w:rPr>
        <w:t>6. Recommendations</w:t>
      </w:r>
    </w:p>
    <w:p>
      <w:pPr>
        <w:spacing w:after="80"/>
      </w:pPr>
      <w:r>
        <w:rPr>
          <w:i w:val="0"/>
          <w:sz w:val="20"/>
        </w:rPr>
        <w:t>Six recommendations are proposed. Each is sized, sponsored and resourced. Each has a defined first milestone within 90 days and a target completion within 12-18 months. The recommendations are sequenced to avoid overload on any single division or function.</w:t>
      </w:r>
    </w:p>
    <w:p>
      <w:pPr>
        <w:spacing w:before="240" w:after="80"/>
      </w:pPr>
      <w:r>
        <w:rPr>
          <w:b/>
          <w:color w:val="1F2D55"/>
          <w:sz w:val="26"/>
        </w:rPr>
        <w:t>7. Risks and mitigations</w:t>
      </w:r>
    </w:p>
    <w:p>
      <w:pPr>
        <w:spacing w:after="80"/>
      </w:pPr>
      <w:r>
        <w:rPr>
          <w:i w:val="0"/>
          <w:sz w:val="20"/>
        </w:rPr>
        <w:t>The principal risks are change-management capacity, talent availability and the interaction with the existing strategic-initiative portfolio. Each risk has a defined owner and mitigation plan; the residual risk after mitigation is assessed as low to medium.</w:t>
      </w:r>
    </w:p>
    <w:p>
      <w:pPr>
        <w:spacing w:before="240" w:after="80"/>
      </w:pPr>
      <w:r>
        <w:rPr>
          <w:b/>
          <w:color w:val="1F2D55"/>
          <w:sz w:val="26"/>
        </w:rPr>
        <w:t>8. Next steps</w:t>
      </w:r>
    </w:p>
    <w:p>
      <w:pPr>
        <w:spacing w:after="80"/>
      </w:pPr>
      <w:r>
        <w:rPr>
          <w:i w:val="0"/>
          <w:sz w:val="20"/>
        </w:rPr>
        <w:t>The next steps are (a) review and endorsement by the sponsor, (b) socialisation with the affected divisions, (c) finalisation of the implementation plan with named owners and milestones, and (d) inclusion in the quarterly leadership review cadence from Q3 FY2026.</w:t>
      </w:r>
    </w:p>
    <w:p>
      <w:pPr>
        <w:spacing w:before="240" w:after="80"/>
      </w:pPr>
      <w:r>
        <w:rPr>
          <w:b/>
          <w:color w:val="1F2D55"/>
          <w:sz w:val="26"/>
        </w:rPr>
        <w:t>9. Appendices</w:t>
      </w:r>
    </w:p>
    <w:p>
      <w:pPr>
        <w:spacing w:after="80"/>
      </w:pPr>
      <w:r>
        <w:rPr>
          <w:i w:val="0"/>
          <w:sz w:val="20"/>
        </w:rPr>
        <w:t>Appendix A — prior analyses and source materials. Appendix B — detailed data and methodology notes. Appendix C — interview list and themes. Appendix D — benchmark references. Appendix E — implementation Gantt chart.</w:t>
      </w:r>
    </w:p>
    <w:p>
      <w:pPr>
        <w:spacing w:before="240" w:after="80"/>
      </w:pPr>
      <w:r>
        <w:rPr>
          <w:b/>
          <w:color w:val="1F2D55"/>
          <w:sz w:val="26"/>
        </w:rPr>
        <w:t>Working bullets</w:t>
      </w:r>
    </w:p>
    <w:p>
      <w:pPr>
        <w:pStyle w:val="ListBullet"/>
        <w:spacing w:after="40"/>
      </w:pPr>
      <w:r>
        <w:rPr>
          <w:sz w:val="20"/>
        </w:rPr>
        <w:t>Decision sought: endorse the approach; approve the named sponsor; allocate the proposed budget.</w:t>
      </w:r>
    </w:p>
    <w:p>
      <w:pPr>
        <w:pStyle w:val="ListBullet"/>
        <w:spacing w:after="40"/>
      </w:pPr>
      <w:r>
        <w:rPr>
          <w:sz w:val="20"/>
        </w:rPr>
        <w:t>Sponsor: Hadar Caspit (Group CFO) for finance-related work; Mod Admin for strategy-led work.</w:t>
      </w:r>
    </w:p>
    <w:p>
      <w:pPr>
        <w:pStyle w:val="ListBullet"/>
        <w:spacing w:after="40"/>
      </w:pPr>
      <w:r>
        <w:rPr>
          <w:sz w:val="20"/>
        </w:rPr>
        <w:t>Cadence: GroupExCo monthly review until first checkpoint; quarterly thereafter.</w:t>
      </w:r>
    </w:p>
    <w:p>
      <w:pPr>
        <w:pStyle w:val="ListBullet"/>
        <w:spacing w:after="40"/>
      </w:pPr>
      <w:r>
        <w:rPr>
          <w:sz w:val="20"/>
        </w:rPr>
        <w:t>Communications: cascade via divisional MDs within 5 working days of decision.</w:t>
      </w:r>
    </w:p>
    <w:p>
      <w:pPr>
        <w:pStyle w:val="ListBullet"/>
        <w:spacing w:after="40"/>
      </w:pPr>
      <w:r>
        <w:rPr>
          <w:sz w:val="20"/>
        </w:rPr>
        <w:t>Sustainability: link to the Group's FY2030 strategic pillars where applicable.</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