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IE Q1 Report BM</w:t>
      </w:r>
    </w:p>
    <w:p>
      <w:pPr>
        <w:spacing w:after="200"/>
      </w:pPr>
      <w:r>
        <w:rPr>
          <w:i/>
          <w:color w:val="4B5B7C"/>
          <w:sz w:val="22"/>
        </w:rPr>
        <w:t>Report · Internal Distribution</w:t>
      </w:r>
    </w:p>
    <w:p>
      <w:pPr>
        <w:spacing w:after="40"/>
      </w:pPr>
      <w:r>
        <w:rPr>
          <w:b/>
          <w:color w:val="1F2D55"/>
          <w:sz w:val="20"/>
        </w:rPr>
        <w:t xml:space="preserve">Report reference:  </w:t>
      </w:r>
      <w:r>
        <w:rPr>
          <w:sz w:val="20"/>
        </w:rPr>
        <w:t>REP-2025-409</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16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IE_Q1_Report_BM.docx</w:t>
      </w:r>
    </w:p>
    <w:p>
      <w:pPr>
        <w:spacing w:before="240" w:after="80"/>
      </w:pPr>
      <w:r>
        <w:rPr>
          <w:b/>
          <w:color w:val="1F2D55"/>
          <w:sz w:val="26"/>
        </w:rPr>
        <w:t>Executive summary</w:t>
      </w:r>
    </w:p>
    <w:p>
      <w:pPr>
        <w:spacing w:after="80"/>
      </w:pPr>
      <w:r>
        <w:rPr>
          <w:i w:val="0"/>
          <w:sz w:val="20"/>
        </w:rPr>
        <w:t>This report (IE Q1 Report BM)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9.3</w:t>
            </w:r>
          </w:p>
        </w:tc>
        <w:tc>
          <w:tcPr>
            <w:tcW w:type="dxa" w:w="1728"/>
          </w:tcPr>
          <w:p>
            <w:r>
              <w:rPr>
                <w:sz w:val="18"/>
              </w:rPr>
              <w:t>16.6</w:t>
            </w:r>
          </w:p>
        </w:tc>
        <w:tc>
          <w:tcPr>
            <w:tcW w:type="dxa" w:w="1728"/>
          </w:tcPr>
          <w:p>
            <w:r>
              <w:rPr>
                <w:sz w:val="18"/>
              </w:rPr>
              <w:t>22.3</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