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6B7280"/>
          <w:sz w:val="18"/>
        </w:rPr>
        <w:t>ZAVA CONGLOMERATE</w:t>
      </w:r>
    </w:p>
    <w:p>
      <w:pPr>
        <w:spacing w:after="40"/>
      </w:pPr>
      <w:r>
        <w:rPr>
          <w:b/>
          <w:color w:val="1F2D55"/>
          <w:sz w:val="44"/>
        </w:rPr>
        <w:t>IR Steering Brief FY2026</w:t>
      </w:r>
    </w:p>
    <w:p>
      <w:pPr>
        <w:spacing w:after="200"/>
      </w:pPr>
      <w:r>
        <w:rPr>
          <w:i/>
          <w:color w:val="4B5B7C"/>
          <w:sz w:val="22"/>
        </w:rPr>
        <w:t>Executive Brief · Pre-Read</w:t>
      </w:r>
    </w:p>
    <w:p>
      <w:pPr>
        <w:spacing w:after="40"/>
      </w:pPr>
      <w:r>
        <w:rPr>
          <w:b/>
          <w:color w:val="1F2D55"/>
          <w:sz w:val="20"/>
        </w:rPr>
        <w:t xml:space="preserve">To:  </w:t>
      </w:r>
      <w:r>
        <w:rPr>
          <w:sz w:val="20"/>
        </w:rPr>
        <w:t>Group Executive Committee</w:t>
      </w:r>
    </w:p>
    <w:p>
      <w:pPr>
        <w:spacing w:after="40"/>
      </w:pPr>
      <w:r>
        <w:rPr>
          <w:b/>
          <w:color w:val="1F2D55"/>
          <w:sz w:val="20"/>
        </w:rPr>
        <w:t xml:space="preserve">From:  </w:t>
      </w:r>
      <w:r>
        <w:rPr>
          <w:sz w:val="20"/>
        </w:rPr>
        <w:t>Office of the Group Chief of Staff</w:t>
      </w:r>
    </w:p>
    <w:p>
      <w:pPr>
        <w:spacing w:after="40"/>
      </w:pPr>
      <w:r>
        <w:rPr>
          <w:b/>
          <w:color w:val="1F2D55"/>
          <w:sz w:val="20"/>
        </w:rPr>
        <w:t xml:space="preserve">Date:  </w:t>
      </w:r>
      <w:r>
        <w:rPr>
          <w:sz w:val="20"/>
        </w:rPr>
        <w:t>17 May 2026</w:t>
      </w:r>
    </w:p>
    <w:p>
      <w:pPr>
        <w:spacing w:after="40"/>
      </w:pPr>
      <w:r>
        <w:rPr>
          <w:b/>
          <w:color w:val="1F2D55"/>
          <w:sz w:val="20"/>
        </w:rPr>
        <w:t xml:space="preserve">Classification:  </w:t>
      </w:r>
      <w:r>
        <w:rPr>
          <w:sz w:val="20"/>
        </w:rPr>
        <w:t>Confidential · GroupExCo only</w:t>
      </w:r>
    </w:p>
    <w:p>
      <w:pPr>
        <w:spacing w:after="40"/>
      </w:pPr>
      <w:r>
        <w:rPr>
          <w:b/>
          <w:color w:val="1F2D55"/>
          <w:sz w:val="20"/>
        </w:rPr>
        <w:t xml:space="preserve">Source file:  </w:t>
      </w:r>
      <w:r>
        <w:rPr>
          <w:sz w:val="20"/>
        </w:rPr>
        <w:t>IR_Steering_Brief_FY2026.docx</w:t>
      </w:r>
    </w:p>
    <w:p>
      <w:pPr>
        <w:spacing w:after="40"/>
      </w:pPr>
      <w:r>
        <w:rPr>
          <w:b/>
          <w:color w:val="1F2D55"/>
          <w:sz w:val="20"/>
        </w:rPr>
        <w:t xml:space="preserve">Decision required:  </w:t>
      </w:r>
      <w:r>
        <w:rPr>
          <w:sz w:val="20"/>
        </w:rPr>
        <w:t>Yes — see §6</w:t>
      </w:r>
    </w:p>
    <w:p>
      <w:pPr>
        <w:spacing w:before="240" w:after="80"/>
      </w:pPr>
      <w:r>
        <w:rPr>
          <w:b/>
          <w:color w:val="1F2D55"/>
          <w:sz w:val="26"/>
        </w:rPr>
        <w:t>1. The ask</w:t>
      </w:r>
    </w:p>
    <w:p>
      <w:pPr>
        <w:spacing w:after="80"/>
      </w:pPr>
      <w:r>
        <w:rPr>
          <w:i w:val="0"/>
          <w:sz w:val="20"/>
        </w:rPr>
        <w:t>This brief covers the matter referenced in the title above (IR Steering Brief FY2026). It sets out the context, the data, the options considered, the recommendation, the risks and the next steps. It is intended as a 10-minute read ahead of the GroupExCo session.</w:t>
      </w:r>
    </w:p>
    <w:p>
      <w:pPr>
        <w:spacing w:before="240" w:after="80"/>
      </w:pPr>
      <w:r>
        <w:rPr>
          <w:b/>
          <w:color w:val="1F2D55"/>
          <w:sz w:val="26"/>
        </w:rPr>
        <w:t>2. Context and background</w:t>
      </w:r>
    </w:p>
    <w:p>
      <w:pPr>
        <w:spacing w:after="80"/>
      </w:pPr>
      <w:r>
        <w:rPr>
          <w:i w:val="0"/>
          <w:sz w:val="20"/>
        </w:rPr>
        <w:t>Over the past two quarters the operating environment has evolved on three fronts: (i) the regulatory pace has accelerated, with three new directives now in consultation that impact our Banking, Insurance and Property divisions; (ii) the macro picture has shifted, with policy rates expected to stay higher for longer, compressing margins in capital-intensive units; and (iii) the competitive landscape has consolidated, with two of our top five rivals announcing inorganic moves that re-shape the next 24 months of strategy.</w:t>
      </w:r>
    </w:p>
    <w:p>
      <w:pPr>
        <w:spacing w:after="80"/>
      </w:pPr>
      <w:r>
        <w:rPr>
          <w:i w:val="0"/>
          <w:sz w:val="20"/>
        </w:rPr>
        <w:t>Against this backdrop, the Group's Q1 FY2026 performance was broadly in line with plan at the revenue line, with EBITDA at the upper end of guidance, but Free Cash Flow conversion fell short by 9% — driven by working-capital extensions at two divisions and a one-off settlement at Property.</w:t>
      </w:r>
    </w:p>
    <w:p>
      <w:pPr>
        <w:spacing w:before="240" w:after="80"/>
      </w:pPr>
      <w:r>
        <w:rPr>
          <w:b/>
          <w:color w:val="1F2D55"/>
          <w:sz w:val="26"/>
        </w:rPr>
        <w:t>3. What the data shows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val="clear" w:color="auto" w:fill="1F2D55"/>
          </w:tcPr>
          <w:p>
            <w:r>
              <w:rPr>
                <w:b/>
                <w:color w:val="FFFFFF"/>
                <w:sz w:val="18"/>
              </w:rPr>
              <w:t>Metric</w:t>
            </w:r>
          </w:p>
        </w:tc>
        <w:tc>
          <w:tcPr>
            <w:tcW w:type="dxa" w:w="1728"/>
            <w:shd w:val="clear" w:color="auto" w:fill="1F2D55"/>
          </w:tcPr>
          <w:p>
            <w:r>
              <w:rPr>
                <w:b/>
                <w:color w:val="FFFFFF"/>
                <w:sz w:val="18"/>
              </w:rPr>
              <w:t>FY2025A</w:t>
            </w:r>
          </w:p>
        </w:tc>
        <w:tc>
          <w:tcPr>
            <w:tcW w:type="dxa" w:w="1728"/>
            <w:shd w:val="clear" w:color="auto" w:fill="1F2D55"/>
          </w:tcPr>
          <w:p>
            <w:r>
              <w:rPr>
                <w:b/>
                <w:color w:val="FFFFFF"/>
                <w:sz w:val="18"/>
              </w:rPr>
              <w:t>FY2026 Plan</w:t>
            </w:r>
          </w:p>
        </w:tc>
        <w:tc>
          <w:tcPr>
            <w:tcW w:type="dxa" w:w="1728"/>
            <w:shd w:val="clear" w:color="auto" w:fill="1F2D55"/>
          </w:tcPr>
          <w:p>
            <w:r>
              <w:rPr>
                <w:b/>
                <w:color w:val="FFFFFF"/>
                <w:sz w:val="18"/>
              </w:rPr>
              <w:t>FY2026 YTD</w:t>
            </w:r>
          </w:p>
        </w:tc>
        <w:tc>
          <w:tcPr>
            <w:tcW w:type="dxa" w:w="1728"/>
            <w:shd w:val="clear" w:color="auto" w:fill="1F2D55"/>
          </w:tcPr>
          <w:p>
            <w:r>
              <w:rPr>
                <w:b/>
                <w:color w:val="FFFFFF"/>
                <w:sz w:val="18"/>
              </w:rPr>
              <w:t>Status</w:t>
            </w:r>
          </w:p>
        </w:tc>
      </w:tr>
      <w:tr>
        <w:tc>
          <w:tcPr>
            <w:tcW w:type="dxa" w:w="1728"/>
          </w:tcPr>
          <w:p>
            <w:r>
              <w:rPr>
                <w:sz w:val="18"/>
              </w:rPr>
              <w:t>Group revenue (MYR B)</w:t>
            </w:r>
          </w:p>
        </w:tc>
        <w:tc>
          <w:tcPr>
            <w:tcW w:type="dxa" w:w="1728"/>
          </w:tcPr>
          <w:p>
            <w:r>
              <w:rPr>
                <w:sz w:val="18"/>
              </w:rPr>
              <w:t>44.7</w:t>
            </w:r>
          </w:p>
        </w:tc>
        <w:tc>
          <w:tcPr>
            <w:tcW w:type="dxa" w:w="1728"/>
          </w:tcPr>
          <w:p>
            <w:r>
              <w:rPr>
                <w:sz w:val="18"/>
              </w:rPr>
              <w:t>45.3</w:t>
            </w:r>
          </w:p>
        </w:tc>
        <w:tc>
          <w:tcPr>
            <w:tcW w:type="dxa" w:w="1728"/>
          </w:tcPr>
          <w:p>
            <w:r>
              <w:rPr>
                <w:sz w:val="18"/>
              </w:rPr>
              <w:t>13.3</w:t>
            </w:r>
          </w:p>
        </w:tc>
        <w:tc>
          <w:tcPr>
            <w:tcW w:type="dxa" w:w="1728"/>
          </w:tcPr>
          <w:p>
            <w:r>
              <w:rPr>
                <w:sz w:val="18"/>
              </w:rPr>
              <w:t>On track</w:t>
            </w:r>
          </w:p>
        </w:tc>
      </w:tr>
      <w:tr>
        <w:tc>
          <w:tcPr>
            <w:tcW w:type="dxa" w:w="1728"/>
          </w:tcPr>
          <w:p>
            <w:r>
              <w:rPr>
                <w:sz w:val="18"/>
              </w:rPr>
              <w:t>Group EBITDA (MYR B)</w:t>
            </w:r>
          </w:p>
        </w:tc>
        <w:tc>
          <w:tcPr>
            <w:tcW w:type="dxa" w:w="1728"/>
          </w:tcPr>
          <w:p>
            <w:r>
              <w:rPr>
                <w:sz w:val="18"/>
              </w:rPr>
              <w:t>8.2</w:t>
            </w:r>
          </w:p>
        </w:tc>
        <w:tc>
          <w:tcPr>
            <w:tcW w:type="dxa" w:w="1728"/>
          </w:tcPr>
          <w:p>
            <w:r>
              <w:rPr>
                <w:sz w:val="18"/>
              </w:rPr>
              <w:t>9.2</w:t>
            </w:r>
          </w:p>
        </w:tc>
        <w:tc>
          <w:tcPr>
            <w:tcW w:type="dxa" w:w="1728"/>
          </w:tcPr>
          <w:p>
            <w:r>
              <w:rPr>
                <w:sz w:val="18"/>
              </w:rPr>
              <w:t>3.1</w:t>
            </w:r>
          </w:p>
        </w:tc>
        <w:tc>
          <w:tcPr>
            <w:tcW w:type="dxa" w:w="1728"/>
          </w:tcPr>
          <w:p>
            <w:r>
              <w:rPr>
                <w:sz w:val="18"/>
              </w:rPr>
              <w:t>Ahead</w:t>
            </w:r>
          </w:p>
        </w:tc>
      </w:tr>
      <w:tr>
        <w:tc>
          <w:tcPr>
            <w:tcW w:type="dxa" w:w="1728"/>
          </w:tcPr>
          <w:p>
            <w:r>
              <w:rPr>
                <w:sz w:val="18"/>
              </w:rPr>
              <w:t>EBITDA margin %</w:t>
            </w:r>
          </w:p>
        </w:tc>
        <w:tc>
          <w:tcPr>
            <w:tcW w:type="dxa" w:w="1728"/>
          </w:tcPr>
          <w:p>
            <w:r>
              <w:rPr>
                <w:sz w:val="18"/>
              </w:rPr>
              <w:t>17.3</w:t>
            </w:r>
          </w:p>
        </w:tc>
        <w:tc>
          <w:tcPr>
            <w:tcW w:type="dxa" w:w="1728"/>
          </w:tcPr>
          <w:p>
            <w:r>
              <w:rPr>
                <w:sz w:val="18"/>
              </w:rPr>
              <w:t>18.8</w:t>
            </w:r>
          </w:p>
        </w:tc>
        <w:tc>
          <w:tcPr>
            <w:tcW w:type="dxa" w:w="1728"/>
          </w:tcPr>
          <w:p>
            <w:r>
              <w:rPr>
                <w:sz w:val="18"/>
              </w:rPr>
              <w:t>21.2</w:t>
            </w:r>
          </w:p>
        </w:tc>
        <w:tc>
          <w:tcPr>
            <w:tcW w:type="dxa" w:w="1728"/>
          </w:tcPr>
          <w:p>
            <w:r>
              <w:rPr>
                <w:sz w:val="18"/>
              </w:rPr>
              <w:t>Ahead</w:t>
            </w:r>
          </w:p>
        </w:tc>
      </w:tr>
      <w:tr>
        <w:tc>
          <w:tcPr>
            <w:tcW w:type="dxa" w:w="1728"/>
          </w:tcPr>
          <w:p>
            <w:r>
              <w:rPr>
                <w:sz w:val="18"/>
              </w:rPr>
              <w:t>Free Cash Flow (MYR B)</w:t>
            </w:r>
          </w:p>
        </w:tc>
        <w:tc>
          <w:tcPr>
            <w:tcW w:type="dxa" w:w="1728"/>
          </w:tcPr>
          <w:p>
            <w:r>
              <w:rPr>
                <w:sz w:val="18"/>
              </w:rPr>
              <w:t>5.3</w:t>
            </w:r>
          </w:p>
        </w:tc>
        <w:tc>
          <w:tcPr>
            <w:tcW w:type="dxa" w:w="1728"/>
          </w:tcPr>
          <w:p>
            <w:r>
              <w:rPr>
                <w:sz w:val="18"/>
              </w:rPr>
              <w:t>6.4</w:t>
            </w:r>
          </w:p>
        </w:tc>
        <w:tc>
          <w:tcPr>
            <w:tcW w:type="dxa" w:w="1728"/>
          </w:tcPr>
          <w:p>
            <w:r>
              <w:rPr>
                <w:sz w:val="18"/>
              </w:rPr>
              <w:t>0.9</w:t>
            </w:r>
          </w:p>
        </w:tc>
        <w:tc>
          <w:tcPr>
            <w:tcW w:type="dxa" w:w="1728"/>
          </w:tcPr>
          <w:p>
            <w:r>
              <w:rPr>
                <w:sz w:val="18"/>
              </w:rPr>
              <w:t>Behind (-9%)</w:t>
            </w:r>
          </w:p>
        </w:tc>
      </w:tr>
      <w:tr>
        <w:tc>
          <w:tcPr>
            <w:tcW w:type="dxa" w:w="1728"/>
          </w:tcPr>
          <w:p>
            <w:r>
              <w:rPr>
                <w:sz w:val="18"/>
              </w:rPr>
              <w:t>Net Debt / EBITDA (x)</w:t>
            </w:r>
          </w:p>
        </w:tc>
        <w:tc>
          <w:tcPr>
            <w:tcW w:type="dxa" w:w="1728"/>
          </w:tcPr>
          <w:p>
            <w:r>
              <w:rPr>
                <w:sz w:val="18"/>
              </w:rPr>
              <w:t>2.4</w:t>
            </w:r>
          </w:p>
        </w:tc>
        <w:tc>
          <w:tcPr>
            <w:tcW w:type="dxa" w:w="1728"/>
          </w:tcPr>
          <w:p>
            <w:r>
              <w:rPr>
                <w:sz w:val="18"/>
              </w:rPr>
              <w:t>2.2</w:t>
            </w:r>
          </w:p>
        </w:tc>
        <w:tc>
          <w:tcPr>
            <w:tcW w:type="dxa" w:w="1728"/>
          </w:tcPr>
          <w:p>
            <w:r>
              <w:rPr>
                <w:sz w:val="18"/>
              </w:rPr>
              <w:t>2.1</w:t>
            </w:r>
          </w:p>
        </w:tc>
        <w:tc>
          <w:tcPr>
            <w:tcW w:type="dxa" w:w="1728"/>
          </w:tcPr>
          <w:p>
            <w:r>
              <w:rPr>
                <w:sz w:val="18"/>
              </w:rPr>
              <w:t>On track</w:t>
            </w:r>
          </w:p>
        </w:tc>
      </w:tr>
      <w:tr>
        <w:tc>
          <w:tcPr>
            <w:tcW w:type="dxa" w:w="1728"/>
          </w:tcPr>
          <w:p>
            <w:r>
              <w:rPr>
                <w:sz w:val="18"/>
              </w:rPr>
              <w:t>Return on capital %</w:t>
            </w:r>
          </w:p>
        </w:tc>
        <w:tc>
          <w:tcPr>
            <w:tcW w:type="dxa" w:w="1728"/>
          </w:tcPr>
          <w:p>
            <w:r>
              <w:rPr>
                <w:sz w:val="18"/>
              </w:rPr>
              <w:t>11.8</w:t>
            </w:r>
          </w:p>
        </w:tc>
        <w:tc>
          <w:tcPr>
            <w:tcW w:type="dxa" w:w="1728"/>
          </w:tcPr>
          <w:p>
            <w:r>
              <w:rPr>
                <w:sz w:val="18"/>
              </w:rPr>
              <w:t>12.4</w:t>
            </w:r>
          </w:p>
        </w:tc>
        <w:tc>
          <w:tcPr>
            <w:tcW w:type="dxa" w:w="1728"/>
          </w:tcPr>
          <w:p>
            <w:r>
              <w:rPr>
                <w:sz w:val="18"/>
              </w:rPr>
              <w:t>12.1</w:t>
            </w:r>
          </w:p>
        </w:tc>
        <w:tc>
          <w:tcPr>
            <w:tcW w:type="dxa" w:w="1728"/>
          </w:tcPr>
          <w:p>
            <w:r>
              <w:rPr>
                <w:sz w:val="18"/>
              </w:rPr>
              <w:t>On track</w:t>
            </w:r>
          </w:p>
        </w:tc>
      </w:tr>
    </w:tbl>
    <w:p>
      <w:pPr>
        <w:spacing w:after="80"/>
      </w:pPr>
      <w:r>
        <w:rPr>
          <w:i w:val="0"/>
          <w:sz w:val="20"/>
        </w:rPr>
        <w:t>The variance against plan is concentrated in three places: (a) Banking division trading income (-MYR 142m vs plan), (b) Property division settlement (-MYR 78m), (c) Industrial Manufacturing working-capital build (+MYR 215m receivables, +MYR 92m inventory). Recovery actions are underway; expected catch-up by end-Q3.</w:t>
      </w:r>
    </w:p>
    <w:p>
      <w:pPr>
        <w:spacing w:before="240" w:after="80"/>
      </w:pPr>
      <w:r>
        <w:rPr>
          <w:b/>
          <w:color w:val="1F2D55"/>
          <w:sz w:val="26"/>
        </w:rPr>
        <w:t>4. Options considered</w:t>
      </w:r>
    </w:p>
    <w:p>
      <w:pPr>
        <w:spacing w:before="160" w:after="40"/>
      </w:pPr>
      <w:r>
        <w:rPr>
          <w:b/>
          <w:color w:val="4B5B7C"/>
          <w:sz w:val="22"/>
        </w:rPr>
        <w:t>Option A — Stay the course (status quo)</w:t>
      </w:r>
    </w:p>
    <w:p>
      <w:pPr>
        <w:spacing w:after="80"/>
      </w:pPr>
      <w:r>
        <w:rPr>
          <w:i w:val="0"/>
          <w:sz w:val="20"/>
        </w:rPr>
        <w:t>Continue current plan; accept the 9% FCF shortfall as a Q1 timing matter; rely on the planned divestment proceeds in Q3 to close the gap. Risk: external market may not co-operate; downside if Q3 outturn slips.</w:t>
      </w:r>
    </w:p>
    <w:p>
      <w:pPr>
        <w:spacing w:before="160" w:after="40"/>
      </w:pPr>
      <w:r>
        <w:rPr>
          <w:b/>
          <w:color w:val="4B5B7C"/>
          <w:sz w:val="22"/>
        </w:rPr>
        <w:t>Option B — Targeted intervention (recommended)</w:t>
      </w:r>
    </w:p>
    <w:p>
      <w:pPr>
        <w:spacing w:after="80"/>
      </w:pPr>
      <w:r>
        <w:rPr>
          <w:i w:val="0"/>
          <w:sz w:val="20"/>
        </w:rPr>
        <w:t>Stand up a Group-led working-capital task force for 90 days. Tighten credit terms at three highest-DSO divisions; freeze non-essential capex at the manufacturing unit; accelerate the small divestment programme. Modelled impact: +MYR 350-450m FCF; limited revenue downside.</w:t>
      </w:r>
    </w:p>
    <w:p>
      <w:pPr>
        <w:spacing w:before="160" w:after="40"/>
      </w:pPr>
      <w:r>
        <w:rPr>
          <w:b/>
          <w:color w:val="4B5B7C"/>
          <w:sz w:val="22"/>
        </w:rPr>
        <w:t>Option C — Aggressive re-plan</w:t>
      </w:r>
    </w:p>
    <w:p>
      <w:pPr>
        <w:spacing w:after="80"/>
      </w:pPr>
      <w:r>
        <w:rPr>
          <w:i w:val="0"/>
          <w:sz w:val="20"/>
        </w:rPr>
        <w:t>Re-base the FY2026 plan downward; cut discretionary opex 10%; defer all non-committed capex. Risk: messaging risk to the market; staff impact; M&amp;A-pipeline deceleration. Modelled impact: +MYR 600-800m FCF; revenue -1.5%; one-off restructuring charge.</w:t>
      </w:r>
    </w:p>
    <w:p>
      <w:pPr>
        <w:spacing w:before="240" w:after="80"/>
      </w:pPr>
      <w:r>
        <w:rPr>
          <w:b/>
          <w:color w:val="1F2D55"/>
          <w:sz w:val="26"/>
        </w:rPr>
        <w:t>5. Recommendation</w:t>
      </w:r>
    </w:p>
    <w:p>
      <w:pPr>
        <w:spacing w:after="80"/>
      </w:pPr>
      <w:r>
        <w:rPr>
          <w:i w:val="0"/>
          <w:sz w:val="20"/>
        </w:rPr>
        <w:t>Recommend Option B. It addresses the FCF gap with the highest expected value, preserves the strategic plan, and avoids market-messaging risk. The task force would be sponsored by the Group CFO with a named senior leader from each division. Weekly read-out to GroupExCo for 12 weeks.</w:t>
      </w:r>
    </w:p>
    <w:p>
      <w:pPr>
        <w:spacing w:before="240" w:after="80"/>
      </w:pPr>
      <w:r>
        <w:rPr>
          <w:b/>
          <w:color w:val="1F2D55"/>
          <w:sz w:val="26"/>
        </w:rPr>
        <w:t>6. Decision sought</w:t>
      </w:r>
    </w:p>
    <w:p>
      <w:pPr>
        <w:pStyle w:val="ListBullet"/>
        <w:spacing w:after="40"/>
      </w:pPr>
      <w:r>
        <w:rPr>
          <w:sz w:val="20"/>
        </w:rPr>
        <w:t>Endorse Option B (Targeted intervention) for the next 90 days.</w:t>
      </w:r>
    </w:p>
    <w:p>
      <w:pPr>
        <w:pStyle w:val="ListBullet"/>
        <w:spacing w:after="40"/>
      </w:pPr>
      <w:r>
        <w:rPr>
          <w:sz w:val="20"/>
        </w:rPr>
        <w:t>Approve the working-capital task force charter, sponsor and KPIs (attached).</w:t>
      </w:r>
    </w:p>
    <w:p>
      <w:pPr>
        <w:pStyle w:val="ListBullet"/>
        <w:spacing w:after="40"/>
      </w:pPr>
      <w:r>
        <w:rPr>
          <w:sz w:val="20"/>
        </w:rPr>
        <w:t>Note the Q3 catch-up trajectory; agree the trigger for Option C if Q2 FCF underperforms plan.</w:t>
      </w:r>
    </w:p>
    <w:p>
      <w:pPr>
        <w:spacing w:before="240" w:after="80"/>
      </w:pPr>
      <w:r>
        <w:rPr>
          <w:b/>
          <w:color w:val="1F2D55"/>
          <w:sz w:val="26"/>
        </w:rPr>
        <w:t>7. Risks and mitigations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val="clear" w:color="auto" w:fill="1F2D55"/>
          </w:tcPr>
          <w:p>
            <w:r>
              <w:rPr>
                <w:b/>
                <w:color w:val="FFFFFF"/>
                <w:sz w:val="18"/>
              </w:rPr>
              <w:t>Risk</w:t>
            </w:r>
          </w:p>
        </w:tc>
        <w:tc>
          <w:tcPr>
            <w:tcW w:type="dxa" w:w="2160"/>
            <w:shd w:val="clear" w:color="auto" w:fill="1F2D55"/>
          </w:tcPr>
          <w:p>
            <w:r>
              <w:rPr>
                <w:b/>
                <w:color w:val="FFFFFF"/>
                <w:sz w:val="18"/>
              </w:rPr>
              <w:t>Likelihood</w:t>
            </w:r>
          </w:p>
        </w:tc>
        <w:tc>
          <w:tcPr>
            <w:tcW w:type="dxa" w:w="2160"/>
            <w:shd w:val="clear" w:color="auto" w:fill="1F2D55"/>
          </w:tcPr>
          <w:p>
            <w:r>
              <w:rPr>
                <w:b/>
                <w:color w:val="FFFFFF"/>
                <w:sz w:val="18"/>
              </w:rPr>
              <w:t>Impact</w:t>
            </w:r>
          </w:p>
        </w:tc>
        <w:tc>
          <w:tcPr>
            <w:tcW w:type="dxa" w:w="2160"/>
            <w:shd w:val="clear" w:color="auto" w:fill="1F2D55"/>
          </w:tcPr>
          <w:p>
            <w:r>
              <w:rPr>
                <w:b/>
                <w:color w:val="FFFFFF"/>
                <w:sz w:val="18"/>
              </w:rPr>
              <w:t>Mitigation</w:t>
            </w:r>
          </w:p>
        </w:tc>
      </w:tr>
      <w:tr>
        <w:tc>
          <w:tcPr>
            <w:tcW w:type="dxa" w:w="2160"/>
          </w:tcPr>
          <w:p>
            <w:r>
              <w:rPr>
                <w:sz w:val="18"/>
              </w:rPr>
              <w:t>Q3 divestment slips beyond Sep'26</w:t>
            </w:r>
          </w:p>
        </w:tc>
        <w:tc>
          <w:tcPr>
            <w:tcW w:type="dxa" w:w="2160"/>
          </w:tcPr>
          <w:p>
            <w:r>
              <w:rPr>
                <w:sz w:val="18"/>
              </w:rPr>
              <w:t>Medium</w:t>
            </w:r>
          </w:p>
        </w:tc>
        <w:tc>
          <w:tcPr>
            <w:tcW w:type="dxa" w:w="2160"/>
          </w:tcPr>
          <w:p>
            <w:r>
              <w:rPr>
                <w:sz w:val="18"/>
              </w:rPr>
              <w:t>MYR 300-450m FCF</w:t>
            </w:r>
          </w:p>
        </w:tc>
        <w:tc>
          <w:tcPr>
            <w:tcW w:type="dxa" w:w="2160"/>
          </w:tcPr>
          <w:p>
            <w:r>
              <w:rPr>
                <w:sz w:val="18"/>
              </w:rPr>
              <w:t>Begin advisor process now; identify alternate proceeds source</w:t>
            </w:r>
          </w:p>
        </w:tc>
      </w:tr>
      <w:tr>
        <w:tc>
          <w:tcPr>
            <w:tcW w:type="dxa" w:w="2160"/>
          </w:tcPr>
          <w:p>
            <w:r>
              <w:rPr>
                <w:sz w:val="18"/>
              </w:rPr>
              <w:t>Receivables collection unpopular with customers</w:t>
            </w:r>
          </w:p>
        </w:tc>
        <w:tc>
          <w:tcPr>
            <w:tcW w:type="dxa" w:w="2160"/>
          </w:tcPr>
          <w:p>
            <w:r>
              <w:rPr>
                <w:sz w:val="18"/>
              </w:rPr>
              <w:t>Low</w:t>
            </w:r>
          </w:p>
        </w:tc>
        <w:tc>
          <w:tcPr>
            <w:tcW w:type="dxa" w:w="2160"/>
          </w:tcPr>
          <w:p>
            <w:r>
              <w:rPr>
                <w:sz w:val="18"/>
              </w:rPr>
              <w:t>Customer churn 1-2%</w:t>
            </w:r>
          </w:p>
        </w:tc>
        <w:tc>
          <w:tcPr>
            <w:tcW w:type="dxa" w:w="2160"/>
          </w:tcPr>
          <w:p>
            <w:r>
              <w:rPr>
                <w:sz w:val="18"/>
              </w:rPr>
              <w:t>Phase implementation; carve-outs for strategic accounts</w:t>
            </w:r>
          </w:p>
        </w:tc>
      </w:tr>
      <w:tr>
        <w:tc>
          <w:tcPr>
            <w:tcW w:type="dxa" w:w="2160"/>
          </w:tcPr>
          <w:p>
            <w:r>
              <w:rPr>
                <w:sz w:val="18"/>
              </w:rPr>
              <w:t>Manufacturing inventory cut hits service levels</w:t>
            </w:r>
          </w:p>
        </w:tc>
        <w:tc>
          <w:tcPr>
            <w:tcW w:type="dxa" w:w="2160"/>
          </w:tcPr>
          <w:p>
            <w:r>
              <w:rPr>
                <w:sz w:val="18"/>
              </w:rPr>
              <w:t>Medium</w:t>
            </w:r>
          </w:p>
        </w:tc>
        <w:tc>
          <w:tcPr>
            <w:tcW w:type="dxa" w:w="2160"/>
          </w:tcPr>
          <w:p>
            <w:r>
              <w:rPr>
                <w:sz w:val="18"/>
              </w:rPr>
              <w:t>Stock-out risk on 8 SKUs</w:t>
            </w:r>
          </w:p>
        </w:tc>
        <w:tc>
          <w:tcPr>
            <w:tcW w:type="dxa" w:w="2160"/>
          </w:tcPr>
          <w:p>
            <w:r>
              <w:rPr>
                <w:sz w:val="18"/>
              </w:rPr>
              <w:t>Targeted SKU-level review; safety-stock retained on critical lines</w:t>
            </w:r>
          </w:p>
        </w:tc>
      </w:tr>
      <w:tr>
        <w:tc>
          <w:tcPr>
            <w:tcW w:type="dxa" w:w="2160"/>
          </w:tcPr>
          <w:p>
            <w:r>
              <w:rPr>
                <w:sz w:val="18"/>
              </w:rPr>
              <w:t>Bank covenants tighten if FCF deteriorates further</w:t>
            </w:r>
          </w:p>
        </w:tc>
        <w:tc>
          <w:tcPr>
            <w:tcW w:type="dxa" w:w="2160"/>
          </w:tcPr>
          <w:p>
            <w:r>
              <w:rPr>
                <w:sz w:val="18"/>
              </w:rPr>
              <w:t>Low</w:t>
            </w:r>
          </w:p>
        </w:tc>
        <w:tc>
          <w:tcPr>
            <w:tcW w:type="dxa" w:w="2160"/>
          </w:tcPr>
          <w:p>
            <w:r>
              <w:rPr>
                <w:sz w:val="18"/>
              </w:rPr>
              <w:t>Reputational</w:t>
            </w:r>
          </w:p>
        </w:tc>
        <w:tc>
          <w:tcPr>
            <w:tcW w:type="dxa" w:w="2160"/>
          </w:tcPr>
          <w:p>
            <w:r>
              <w:rPr>
                <w:sz w:val="18"/>
              </w:rPr>
              <w:t>Proactive lender briefing; covenants currently 1.4× headroom</w:t>
            </w:r>
          </w:p>
        </w:tc>
      </w:tr>
    </w:tbl>
    <w:p>
      <w:pPr>
        <w:spacing w:before="240" w:after="80"/>
      </w:pPr>
      <w:r>
        <w:rPr>
          <w:b/>
          <w:color w:val="1F2D55"/>
          <w:sz w:val="26"/>
        </w:rPr>
        <w:t>8. Communications</w:t>
      </w:r>
    </w:p>
    <w:p>
      <w:pPr>
        <w:spacing w:after="80"/>
      </w:pPr>
      <w:r>
        <w:rPr>
          <w:i w:val="0"/>
          <w:sz w:val="20"/>
        </w:rPr>
        <w:t>Internal: post-decision, Group CFO to brief Divisional CFOs and Heads of Finance via Teams meeting; cascade to operational managers within 5 working days. External: no required disclosure at this stage; CFO commentary at next analyst briefing to emphasise capital discipline.</w:t>
      </w:r>
    </w:p>
    <w:p>
      <w:pPr>
        <w:spacing w:before="240" w:after="80"/>
      </w:pPr>
      <w:r>
        <w:rPr>
          <w:b/>
          <w:color w:val="1F2D55"/>
          <w:sz w:val="26"/>
        </w:rPr>
        <w:t>Appendix — Backup analysis</w:t>
      </w:r>
    </w:p>
    <w:p>
      <w:pPr>
        <w:pStyle w:val="ListBullet"/>
        <w:spacing w:after="40"/>
      </w:pPr>
      <w:r>
        <w:rPr>
          <w:sz w:val="20"/>
        </w:rPr>
        <w:t>DSO/DIO/DPO benchmarks across peers (12 ASEAN conglomerates)</w:t>
      </w:r>
    </w:p>
    <w:p>
      <w:pPr>
        <w:pStyle w:val="ListBullet"/>
        <w:spacing w:after="40"/>
      </w:pPr>
      <w:r>
        <w:rPr>
          <w:sz w:val="20"/>
        </w:rPr>
        <w:t>Q3 divestment pipeline (5 assets, modelled proceeds MYR 320-540m)</w:t>
      </w:r>
    </w:p>
    <w:p>
      <w:pPr>
        <w:pStyle w:val="ListBullet"/>
        <w:spacing w:after="40"/>
      </w:pPr>
      <w:r>
        <w:rPr>
          <w:sz w:val="20"/>
        </w:rPr>
        <w:t>Capex pipeline triage (180 projects scored; 22 deferrable)</w:t>
      </w:r>
    </w:p>
    <w:p>
      <w:pPr>
        <w:pStyle w:val="ListBullet"/>
        <w:spacing w:after="40"/>
      </w:pPr>
      <w:r>
        <w:rPr>
          <w:sz w:val="20"/>
        </w:rPr>
        <w:t>Lender covenant headroom analysis (18 facilities)</w:t>
      </w:r>
    </w:p>
    <w:p>
      <w:pPr>
        <w:jc w:val="center"/>
      </w:pPr>
      <w:r>
        <w:rPr>
          <w:i/>
          <w:color w:val="9CA3AF"/>
          <w:sz w:val="16"/>
        </w:rPr>
        <w:t>— END OF DOCUMENT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