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ISL 06 Investor QA Islamic</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ISL_06_Investor_QA_Islamic.docx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(ISL 06 Investor QA Islamic).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46.1</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7.9</w:t>
            </w:r>
          </w:p>
        </w:tc>
        <w:tc>
          <w:tcPr>
            <w:tcW w:type="dxa" w:w="1728"/>
          </w:tcPr>
          <w:p>
            <w:r>
              <w:rPr>
                <w:sz w:val="18"/>
              </w:rPr>
              <w:t>9.1</w:t>
            </w:r>
          </w:p>
        </w:tc>
        <w:tc>
          <w:tcPr>
            <w:tcW w:type="dxa" w:w="1728"/>
          </w:tcPr>
          <w:p>
            <w:r>
              <w:rPr>
                <w:sz w:val="18"/>
              </w:rPr>
              <w:t>2.9</w:t>
            </w:r>
          </w:p>
        </w:tc>
        <w:tc>
          <w:tcPr>
            <w:tcW w:type="dxa" w:w="1728"/>
          </w:tcPr>
          <w:p>
            <w:r>
              <w:rPr>
                <w:sz w:val="18"/>
              </w:rPr>
              <w:t>Ahead</w:t>
            </w:r>
          </w:p>
        </w:tc>
      </w:tr>
      <w:tr>
        <w:tc>
          <w:tcPr>
            <w:tcW w:type="dxa" w:w="1728"/>
          </w:tcPr>
          <w:p>
            <w:r>
              <w:rPr>
                <w:sz w:val="18"/>
              </w:rPr>
              <w:t>EBITDA margin %</w:t>
            </w:r>
          </w:p>
        </w:tc>
        <w:tc>
          <w:tcPr>
            <w:tcW w:type="dxa" w:w="1728"/>
          </w:tcPr>
          <w:p>
            <w:r>
              <w:rPr>
                <w:sz w:val="18"/>
              </w:rPr>
              <w:t>19.9</w:t>
            </w:r>
          </w:p>
        </w:tc>
        <w:tc>
          <w:tcPr>
            <w:tcW w:type="dxa" w:w="1728"/>
          </w:tcPr>
          <w:p>
            <w:r>
              <w:rPr>
                <w:sz w:val="18"/>
              </w:rPr>
              <w:t>19.4</w:t>
            </w:r>
          </w:p>
        </w:tc>
        <w:tc>
          <w:tcPr>
            <w:tcW w:type="dxa" w:w="1728"/>
          </w:tcPr>
          <w:p>
            <w:r>
              <w:rPr>
                <w:sz w:val="18"/>
              </w:rPr>
              <w:t>20.8</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5.3</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