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Internal Policy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GP-INTE-2026-174</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Internal_Policy_Manual.docx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Internal Policy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