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Komite Pre Read Attrition Renewals</w:t>
      </w:r>
    </w:p>
    <w:p>
      <w:pPr>
        <w:spacing w:after="200"/>
      </w:pPr>
      <w:r>
        <w:rPr>
          <w:i/>
          <w:color w:val="4B5B7C"/>
          <w:sz w:val="22"/>
        </w:rPr>
        <w:t>Contract · Confidential</w:t>
      </w:r>
    </w:p>
    <w:p>
      <w:pPr>
        <w:spacing w:after="40"/>
      </w:pPr>
      <w:r>
        <w:rPr>
          <w:b/>
          <w:color w:val="1F2D55"/>
          <w:sz w:val="20"/>
        </w:rPr>
        <w:t xml:space="preserve">Agreement reference:  </w:t>
      </w:r>
      <w:r>
        <w:rPr>
          <w:sz w:val="20"/>
        </w:rPr>
        <w:t>CON-2026-1850</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05 May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Komite_Pre_Read_Attrition_Renewals.docx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918.000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