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LEG Internal Standards</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GP-LEG-2026-311</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LEG_Internal_Standards.docx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LEG Internal Standards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