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Lender Briefing Renewals</w:t>
      </w:r>
    </w:p>
    <w:p>
      <w:pPr>
        <w:spacing w:after="200"/>
      </w:pPr>
      <w:r>
        <w:rPr>
          <w:i/>
          <w:color w:val="4B5B7C"/>
          <w:sz w:val="22"/>
        </w:rPr>
        <w:t>Contract · Confidential</w:t>
      </w:r>
    </w:p>
    <w:p>
      <w:pPr>
        <w:spacing w:after="40"/>
      </w:pPr>
      <w:r>
        <w:rPr>
          <w:b/>
          <w:color w:val="1F2D55"/>
          <w:sz w:val="20"/>
        </w:rPr>
        <w:t xml:space="preserve">Agreement reference:  </w:t>
      </w:r>
      <w:r>
        <w:rPr>
          <w:sz w:val="20"/>
        </w:rPr>
        <w:t>CON-2025-2375</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03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Lender_Briefing_Renewals.docx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581.000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