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6B7280"/>
          <w:sz w:val="18"/>
        </w:rPr>
        <w:t>ZAVA CONGLOMERATE</w:t>
      </w:r>
    </w:p>
    <w:p>
      <w:pPr>
        <w:spacing w:after="40"/>
      </w:pPr>
      <w:r>
        <w:rPr>
          <w:b/>
          <w:color w:val="1F2D55"/>
          <w:sz w:val="44"/>
        </w:rPr>
        <w:t>MAR 03 Westports Concession Renewal Brief</w:t>
      </w:r>
    </w:p>
    <w:p>
      <w:pPr>
        <w:spacing w:after="200"/>
      </w:pPr>
      <w:r>
        <w:rPr>
          <w:i/>
          <w:color w:val="4B5B7C"/>
          <w:sz w:val="22"/>
        </w:rPr>
        <w:t>Contract · Confidential</w:t>
      </w:r>
    </w:p>
    <w:p>
      <w:pPr>
        <w:spacing w:after="40"/>
      </w:pPr>
      <w:r>
        <w:rPr>
          <w:b/>
          <w:color w:val="1F2D55"/>
          <w:sz w:val="20"/>
        </w:rPr>
        <w:t xml:space="preserve">Agreement reference:  </w:t>
      </w:r>
      <w:r>
        <w:rPr>
          <w:sz w:val="20"/>
        </w:rPr>
        <w:t>CON-2026-1307</w:t>
      </w:r>
    </w:p>
    <w:p>
      <w:pPr>
        <w:spacing w:after="40"/>
      </w:pPr>
      <w:r>
        <w:rPr>
          <w:b/>
          <w:color w:val="1F2D55"/>
          <w:sz w:val="20"/>
        </w:rPr>
        <w:t xml:space="preserve">Parties:  </w:t>
      </w:r>
      <w:r>
        <w:rPr>
          <w:sz w:val="20"/>
        </w:rPr>
        <w:t>Zava Conglomerate Bhd ("Zava") and the Counterparty named in Schedule 1</w:t>
      </w:r>
    </w:p>
    <w:p>
      <w:pPr>
        <w:spacing w:after="40"/>
      </w:pPr>
      <w:r>
        <w:rPr>
          <w:b/>
          <w:color w:val="1F2D55"/>
          <w:sz w:val="20"/>
        </w:rPr>
        <w:t xml:space="preserve">Effective date:  </w:t>
      </w:r>
      <w:r>
        <w:rPr>
          <w:sz w:val="20"/>
        </w:rPr>
        <w:t>23 April 2026</w:t>
      </w:r>
    </w:p>
    <w:p>
      <w:pPr>
        <w:spacing w:after="40"/>
      </w:pPr>
      <w:r>
        <w:rPr>
          <w:b/>
          <w:color w:val="1F2D55"/>
          <w:sz w:val="20"/>
        </w:rPr>
        <w:t xml:space="preserve">Term:  </w:t>
      </w:r>
      <w:r>
        <w:rPr>
          <w:sz w:val="20"/>
        </w:rPr>
        <w:t>36 months from the Effective Date, renewable in 12-month increments</w:t>
      </w:r>
    </w:p>
    <w:p>
      <w:pPr>
        <w:spacing w:after="40"/>
      </w:pPr>
      <w:r>
        <w:rPr>
          <w:b/>
          <w:color w:val="1F2D55"/>
          <w:sz w:val="20"/>
        </w:rPr>
        <w:t xml:space="preserve">Governing law:  </w:t>
      </w:r>
      <w:r>
        <w:rPr>
          <w:sz w:val="20"/>
        </w:rPr>
        <w:t>Laws of Malaysia; courts of Kuala Lumpur (exclusive jurisdiction)</w:t>
      </w:r>
    </w:p>
    <w:p>
      <w:pPr>
        <w:spacing w:after="40"/>
      </w:pPr>
      <w:r>
        <w:rPr>
          <w:b/>
          <w:color w:val="1F2D55"/>
          <w:sz w:val="20"/>
        </w:rPr>
        <w:t xml:space="preserve">Source file:  </w:t>
      </w:r>
      <w:r>
        <w:rPr>
          <w:sz w:val="20"/>
        </w:rPr>
        <w:t>MAR_03_Westports_Concession_Renewal_Brief.docx</w:t>
      </w:r>
    </w:p>
    <w:p>
      <w:pPr>
        <w:spacing w:after="40"/>
      </w:pPr>
      <w:r>
        <w:rPr>
          <w:b/>
          <w:color w:val="1F2D55"/>
          <w:sz w:val="20"/>
        </w:rPr>
        <w:t xml:space="preserve">Status:  </w:t>
      </w:r>
      <w:r>
        <w:rPr>
          <w:sz w:val="20"/>
        </w:rPr>
        <w:t>Execution copy</w:t>
      </w:r>
    </w:p>
    <w:p>
      <w:pPr>
        <w:spacing w:before="240" w:after="80"/>
      </w:pPr>
      <w:r>
        <w:rPr>
          <w:b/>
          <w:color w:val="1F2D55"/>
          <w:sz w:val="26"/>
        </w:rPr>
        <w:t>Recitals</w:t>
      </w:r>
    </w:p>
    <w:p>
      <w:pPr>
        <w:spacing w:after="80"/>
      </w:pPr>
      <w:r>
        <w:rPr>
          <w:i w:val="0"/>
          <w:sz w:val="20"/>
        </w:rPr>
        <w:t>WHEREAS, Zava engages in the business set out in Schedule 2 and wishes to procure / supply (as applicable) the goods, services or rights described in Schedule 3 (the "Services"); AND WHEREAS, the Counterparty represents that it has the capability, resources and authorisations to provide / receive (as applicable) the Services; AND WHEREAS, the parties intend to be legally bound by the terms set out in this Agreement.</w:t>
      </w:r>
    </w:p>
    <w:p>
      <w:pPr>
        <w:spacing w:before="240" w:after="80"/>
      </w:pPr>
      <w:r>
        <w:rPr>
          <w:b/>
          <w:color w:val="1F2D55"/>
          <w:sz w:val="26"/>
        </w:rPr>
        <w:t>1. Definitions and interpretation</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1F2D55"/>
          </w:tcPr>
          <w:p>
            <w:r>
              <w:rPr>
                <w:b/>
                <w:color w:val="FFFFFF"/>
                <w:sz w:val="18"/>
              </w:rPr>
              <w:t>Term</w:t>
            </w:r>
          </w:p>
        </w:tc>
        <w:tc>
          <w:tcPr>
            <w:tcW w:type="dxa" w:w="4320"/>
            <w:shd w:val="clear" w:color="auto" w:fill="1F2D55"/>
          </w:tcPr>
          <w:p>
            <w:r>
              <w:rPr>
                <w:b/>
                <w:color w:val="FFFFFF"/>
                <w:sz w:val="18"/>
              </w:rPr>
              <w:t>Meaning</w:t>
            </w:r>
          </w:p>
        </w:tc>
      </w:tr>
      <w:tr>
        <w:tc>
          <w:tcPr>
            <w:tcW w:type="dxa" w:w="4320"/>
          </w:tcPr>
          <w:p>
            <w:r>
              <w:rPr>
                <w:sz w:val="18"/>
              </w:rPr>
              <w:t>Affiliate</w:t>
            </w:r>
          </w:p>
        </w:tc>
        <w:tc>
          <w:tcPr>
            <w:tcW w:type="dxa" w:w="4320"/>
          </w:tcPr>
          <w:p>
            <w:r>
              <w:rPr>
                <w:sz w:val="18"/>
              </w:rPr>
              <w:t>Any entity controlling, controlled by or under common control with a party.</w:t>
            </w:r>
          </w:p>
        </w:tc>
      </w:tr>
      <w:tr>
        <w:tc>
          <w:tcPr>
            <w:tcW w:type="dxa" w:w="4320"/>
          </w:tcPr>
          <w:p>
            <w:r>
              <w:rPr>
                <w:sz w:val="18"/>
              </w:rPr>
              <w:t>Confidential Information</w:t>
            </w:r>
          </w:p>
        </w:tc>
        <w:tc>
          <w:tcPr>
            <w:tcW w:type="dxa" w:w="4320"/>
          </w:tcPr>
          <w:p>
            <w:r>
              <w:rPr>
                <w:sz w:val="18"/>
              </w:rPr>
              <w:t>Information disclosed by either party that is non-public, marked or by its nature ought to be treated as confidential.</w:t>
            </w:r>
          </w:p>
        </w:tc>
      </w:tr>
      <w:tr>
        <w:tc>
          <w:tcPr>
            <w:tcW w:type="dxa" w:w="4320"/>
          </w:tcPr>
          <w:p>
            <w:r>
              <w:rPr>
                <w:sz w:val="18"/>
              </w:rPr>
              <w:t>Deliverables</w:t>
            </w:r>
          </w:p>
        </w:tc>
        <w:tc>
          <w:tcPr>
            <w:tcW w:type="dxa" w:w="4320"/>
          </w:tcPr>
          <w:p>
            <w:r>
              <w:rPr>
                <w:sz w:val="18"/>
              </w:rPr>
              <w:t>Items, outputs, materials and reports listed in Schedule 3.</w:t>
            </w:r>
          </w:p>
        </w:tc>
      </w:tr>
      <w:tr>
        <w:tc>
          <w:tcPr>
            <w:tcW w:type="dxa" w:w="4320"/>
          </w:tcPr>
          <w:p>
            <w:r>
              <w:rPr>
                <w:sz w:val="18"/>
              </w:rPr>
              <w:t>Force Majeure Event</w:t>
            </w:r>
          </w:p>
        </w:tc>
        <w:tc>
          <w:tcPr>
            <w:tcW w:type="dxa" w:w="4320"/>
          </w:tcPr>
          <w:p>
            <w:r>
              <w:rPr>
                <w:sz w:val="18"/>
              </w:rPr>
              <w:t>An event beyond a party's reasonable control as defined in clause 11.</w:t>
            </w:r>
          </w:p>
        </w:tc>
      </w:tr>
      <w:tr>
        <w:tc>
          <w:tcPr>
            <w:tcW w:type="dxa" w:w="4320"/>
          </w:tcPr>
          <w:p>
            <w:r>
              <w:rPr>
                <w:sz w:val="18"/>
              </w:rPr>
              <w:t>Services</w:t>
            </w:r>
          </w:p>
        </w:tc>
        <w:tc>
          <w:tcPr>
            <w:tcW w:type="dxa" w:w="4320"/>
          </w:tcPr>
          <w:p>
            <w:r>
              <w:rPr>
                <w:sz w:val="18"/>
              </w:rPr>
              <w:t>The activities described in Schedule 3 and any reasonable ancillary activities.</w:t>
            </w:r>
          </w:p>
        </w:tc>
      </w:tr>
      <w:tr>
        <w:tc>
          <w:tcPr>
            <w:tcW w:type="dxa" w:w="4320"/>
          </w:tcPr>
          <w:p>
            <w:r>
              <w:rPr>
                <w:sz w:val="18"/>
              </w:rPr>
              <w:t>Service Levels</w:t>
            </w:r>
          </w:p>
        </w:tc>
        <w:tc>
          <w:tcPr>
            <w:tcW w:type="dxa" w:w="4320"/>
          </w:tcPr>
          <w:p>
            <w:r>
              <w:rPr>
                <w:sz w:val="18"/>
              </w:rPr>
              <w:t>The performance standards in Schedule 4.</w:t>
            </w:r>
          </w:p>
        </w:tc>
      </w:tr>
      <w:tr>
        <w:tc>
          <w:tcPr>
            <w:tcW w:type="dxa" w:w="4320"/>
          </w:tcPr>
          <w:p>
            <w:r>
              <w:rPr>
                <w:sz w:val="18"/>
              </w:rPr>
              <w:t>Service Credits</w:t>
            </w:r>
          </w:p>
        </w:tc>
        <w:tc>
          <w:tcPr>
            <w:tcW w:type="dxa" w:w="4320"/>
          </w:tcPr>
          <w:p>
            <w:r>
              <w:rPr>
                <w:sz w:val="18"/>
              </w:rPr>
              <w:t>The credits payable for Service Level breaches per Schedule 4.</w:t>
            </w:r>
          </w:p>
        </w:tc>
      </w:tr>
      <w:tr>
        <w:tc>
          <w:tcPr>
            <w:tcW w:type="dxa" w:w="4320"/>
          </w:tcPr>
          <w:p>
            <w:r>
              <w:rPr>
                <w:sz w:val="18"/>
              </w:rPr>
              <w:t>Tax</w:t>
            </w:r>
          </w:p>
        </w:tc>
        <w:tc>
          <w:tcPr>
            <w:tcW w:type="dxa" w:w="4320"/>
          </w:tcPr>
          <w:p>
            <w:r>
              <w:rPr>
                <w:sz w:val="18"/>
              </w:rPr>
              <w:t>Any tax, levy, duty or charge of a similar nature imposed by any competent tax authority.</w:t>
            </w:r>
          </w:p>
        </w:tc>
      </w:tr>
    </w:tbl>
    <w:p>
      <w:pPr>
        <w:spacing w:before="240" w:after="80"/>
      </w:pPr>
      <w:r>
        <w:rPr>
          <w:b/>
          <w:color w:val="1F2D55"/>
          <w:sz w:val="26"/>
        </w:rPr>
        <w:t>2. Scope of services</w:t>
      </w:r>
    </w:p>
    <w:p>
      <w:pPr>
        <w:spacing w:after="80"/>
      </w:pPr>
      <w:r>
        <w:rPr>
          <w:i w:val="0"/>
          <w:sz w:val="20"/>
        </w:rPr>
        <w:t>The Counterparty shall perform the Services in accordance with Schedule 3 and Industry Standard, provide the Deliverables by the dates set out therein, and meet the Service Levels in Schedule 4.</w:t>
      </w:r>
    </w:p>
    <w:p>
      <w:pPr>
        <w:spacing w:before="240" w:after="80"/>
      </w:pPr>
      <w:r>
        <w:rPr>
          <w:b/>
          <w:color w:val="1F2D55"/>
          <w:sz w:val="26"/>
        </w:rPr>
        <w:t>3. Fees and payment</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1F2D55"/>
          </w:tcPr>
          <w:p>
            <w:r>
              <w:rPr>
                <w:b/>
                <w:color w:val="FFFFFF"/>
                <w:sz w:val="18"/>
              </w:rPr>
              <w:t>Item</w:t>
            </w:r>
          </w:p>
        </w:tc>
        <w:tc>
          <w:tcPr>
            <w:tcW w:type="dxa" w:w="2160"/>
            <w:shd w:val="clear" w:color="auto" w:fill="1F2D55"/>
          </w:tcPr>
          <w:p>
            <w:r>
              <w:rPr>
                <w:b/>
                <w:color w:val="FFFFFF"/>
                <w:sz w:val="18"/>
              </w:rPr>
              <w:t>Amount</w:t>
            </w:r>
          </w:p>
        </w:tc>
        <w:tc>
          <w:tcPr>
            <w:tcW w:type="dxa" w:w="2160"/>
            <w:shd w:val="clear" w:color="auto" w:fill="1F2D55"/>
          </w:tcPr>
          <w:p>
            <w:r>
              <w:rPr>
                <w:b/>
                <w:color w:val="FFFFFF"/>
                <w:sz w:val="18"/>
              </w:rPr>
              <w:t>Frequency</w:t>
            </w:r>
          </w:p>
        </w:tc>
        <w:tc>
          <w:tcPr>
            <w:tcW w:type="dxa" w:w="2160"/>
            <w:shd w:val="clear" w:color="auto" w:fill="1F2D55"/>
          </w:tcPr>
          <w:p>
            <w:r>
              <w:rPr>
                <w:b/>
                <w:color w:val="FFFFFF"/>
                <w:sz w:val="18"/>
              </w:rPr>
              <w:t>Notes</w:t>
            </w:r>
          </w:p>
        </w:tc>
      </w:tr>
      <w:tr>
        <w:tc>
          <w:tcPr>
            <w:tcW w:type="dxa" w:w="2160"/>
          </w:tcPr>
          <w:p>
            <w:r>
              <w:rPr>
                <w:sz w:val="18"/>
              </w:rPr>
              <w:t>Service fee (fixed)</w:t>
            </w:r>
          </w:p>
        </w:tc>
        <w:tc>
          <w:tcPr>
            <w:tcW w:type="dxa" w:w="2160"/>
          </w:tcPr>
          <w:p>
            <w:r>
              <w:rPr>
                <w:sz w:val="18"/>
              </w:rPr>
              <w:t>MYR 226.000 per month</w:t>
            </w:r>
          </w:p>
        </w:tc>
        <w:tc>
          <w:tcPr>
            <w:tcW w:type="dxa" w:w="2160"/>
          </w:tcPr>
          <w:p>
            <w:r>
              <w:rPr>
                <w:sz w:val="18"/>
              </w:rPr>
              <w:t>Monthly</w:t>
            </w:r>
          </w:p>
        </w:tc>
        <w:tc>
          <w:tcPr>
            <w:tcW w:type="dxa" w:w="2160"/>
          </w:tcPr>
          <w:p>
            <w:r>
              <w:rPr>
                <w:sz w:val="18"/>
              </w:rPr>
              <w:t>Paid 30 days after invoice</w:t>
            </w:r>
          </w:p>
        </w:tc>
      </w:tr>
      <w:tr>
        <w:tc>
          <w:tcPr>
            <w:tcW w:type="dxa" w:w="2160"/>
          </w:tcPr>
          <w:p>
            <w:r>
              <w:rPr>
                <w:sz w:val="18"/>
              </w:rPr>
              <w:t>Volume-based fee</w:t>
            </w:r>
          </w:p>
        </w:tc>
        <w:tc>
          <w:tcPr>
            <w:tcW w:type="dxa" w:w="2160"/>
          </w:tcPr>
          <w:p>
            <w:r>
              <w:rPr>
                <w:sz w:val="18"/>
              </w:rPr>
              <w:t>MYR 4.50 per transaction</w:t>
            </w:r>
          </w:p>
        </w:tc>
        <w:tc>
          <w:tcPr>
            <w:tcW w:type="dxa" w:w="2160"/>
          </w:tcPr>
          <w:p>
            <w:r>
              <w:rPr>
                <w:sz w:val="18"/>
              </w:rPr>
              <w:t>Variable</w:t>
            </w:r>
          </w:p>
        </w:tc>
        <w:tc>
          <w:tcPr>
            <w:tcW w:type="dxa" w:w="2160"/>
          </w:tcPr>
          <w:p>
            <w:r>
              <w:rPr>
                <w:sz w:val="18"/>
              </w:rPr>
              <w:t>Tiered above 100,000 transactions/month</w:t>
            </w:r>
          </w:p>
        </w:tc>
      </w:tr>
      <w:tr>
        <w:tc>
          <w:tcPr>
            <w:tcW w:type="dxa" w:w="2160"/>
          </w:tcPr>
          <w:p>
            <w:r>
              <w:rPr>
                <w:sz w:val="18"/>
              </w:rPr>
              <w:t>Onboarding fee</w:t>
            </w:r>
          </w:p>
        </w:tc>
        <w:tc>
          <w:tcPr>
            <w:tcW w:type="dxa" w:w="2160"/>
          </w:tcPr>
          <w:p>
            <w:r>
              <w:rPr>
                <w:sz w:val="18"/>
              </w:rPr>
              <w:t>MYR 180,000</w:t>
            </w:r>
          </w:p>
        </w:tc>
        <w:tc>
          <w:tcPr>
            <w:tcW w:type="dxa" w:w="2160"/>
          </w:tcPr>
          <w:p>
            <w:r>
              <w:rPr>
                <w:sz w:val="18"/>
              </w:rPr>
              <w:t>One-off</w:t>
            </w:r>
          </w:p>
        </w:tc>
        <w:tc>
          <w:tcPr>
            <w:tcW w:type="dxa" w:w="2160"/>
          </w:tcPr>
          <w:p>
            <w:r>
              <w:rPr>
                <w:sz w:val="18"/>
              </w:rPr>
              <w:t>Payable on signing</w:t>
            </w:r>
          </w:p>
        </w:tc>
      </w:tr>
      <w:tr>
        <w:tc>
          <w:tcPr>
            <w:tcW w:type="dxa" w:w="2160"/>
          </w:tcPr>
          <w:p>
            <w:r>
              <w:rPr>
                <w:sz w:val="18"/>
              </w:rPr>
              <w:t>Service-credit cap</w:t>
            </w:r>
          </w:p>
        </w:tc>
        <w:tc>
          <w:tcPr>
            <w:tcW w:type="dxa" w:w="2160"/>
          </w:tcPr>
          <w:p>
            <w:r>
              <w:rPr>
                <w:sz w:val="18"/>
              </w:rPr>
              <w:t>Up to 15% of monthly fee</w:t>
            </w:r>
          </w:p>
        </w:tc>
        <w:tc>
          <w:tcPr>
            <w:tcW w:type="dxa" w:w="2160"/>
          </w:tcPr>
          <w:p>
            <w:r>
              <w:rPr>
                <w:sz w:val="18"/>
              </w:rPr>
              <w:t>Per month</w:t>
            </w:r>
          </w:p>
        </w:tc>
        <w:tc>
          <w:tcPr>
            <w:tcW w:type="dxa" w:w="2160"/>
          </w:tcPr>
          <w:p>
            <w:r>
              <w:rPr>
                <w:sz w:val="18"/>
              </w:rPr>
              <w:t>Per Schedule 4</w:t>
            </w:r>
          </w:p>
        </w:tc>
      </w:tr>
    </w:tbl>
    <w:p>
      <w:pPr>
        <w:spacing w:before="240" w:after="80"/>
      </w:pPr>
      <w:r>
        <w:rPr>
          <w:b/>
          <w:color w:val="1F2D55"/>
          <w:sz w:val="26"/>
        </w:rPr>
        <w:t>4. Service Levels and remedies</w:t>
      </w:r>
    </w:p>
    <w:p>
      <w:pPr>
        <w:spacing w:after="80"/>
      </w:pPr>
      <w:r>
        <w:rPr>
          <w:i w:val="0"/>
          <w:sz w:val="20"/>
        </w:rPr>
        <w:t>Service Levels are set out in Schedule 4. Failure to meet a Service Level results in Service Credits applied automatically on the next invoice. Repeated breach (3 consecutive months or 6 months in any rolling 12) constitutes a Material Breach giving rise to termination rights per clause 12.</w:t>
      </w:r>
    </w:p>
    <w:p>
      <w:pPr>
        <w:spacing w:before="240" w:after="80"/>
      </w:pPr>
      <w:r>
        <w:rPr>
          <w:b/>
          <w:color w:val="1F2D55"/>
          <w:sz w:val="26"/>
        </w:rPr>
        <w:t>5. Warranties and undertakings</w:t>
      </w:r>
    </w:p>
    <w:p>
      <w:pPr>
        <w:pStyle w:val="ListBullet"/>
        <w:spacing w:after="40"/>
      </w:pPr>
      <w:r>
        <w:rPr>
          <w:sz w:val="20"/>
        </w:rPr>
        <w:t>Each party warrants that it has full corporate power to enter into this Agreement.</w:t>
      </w:r>
    </w:p>
    <w:p>
      <w:pPr>
        <w:pStyle w:val="ListBullet"/>
        <w:spacing w:after="40"/>
      </w:pPr>
      <w:r>
        <w:rPr>
          <w:sz w:val="20"/>
        </w:rPr>
        <w:t>The Counterparty warrants that the Services will be performed with reasonable skill and care and to Industry Standard.</w:t>
      </w:r>
    </w:p>
    <w:p>
      <w:pPr>
        <w:pStyle w:val="ListBullet"/>
        <w:spacing w:after="40"/>
      </w:pPr>
      <w:r>
        <w:rPr>
          <w:sz w:val="20"/>
        </w:rPr>
        <w:t>Each party undertakes to comply with applicable Anti-Bribery and Corruption laws and the Zava Anti-Bribery Policy (Schedule 6).</w:t>
      </w:r>
    </w:p>
    <w:p>
      <w:pPr>
        <w:pStyle w:val="ListBullet"/>
        <w:spacing w:after="40"/>
      </w:pPr>
      <w:r>
        <w:rPr>
          <w:sz w:val="20"/>
        </w:rPr>
        <w:t>Each party undertakes to comply with applicable data-protection laws including PDPA (MY) and where applicable UU PDP (ID) and GDPR (EU).</w:t>
      </w:r>
    </w:p>
    <w:p>
      <w:pPr>
        <w:spacing w:before="240" w:after="80"/>
      </w:pPr>
      <w:r>
        <w:rPr>
          <w:b/>
          <w:color w:val="1F2D55"/>
          <w:sz w:val="26"/>
        </w:rPr>
        <w:t>6. Confidentiality</w:t>
      </w:r>
    </w:p>
    <w:p>
      <w:pPr>
        <w:spacing w:after="80"/>
      </w:pPr>
      <w:r>
        <w:rPr>
          <w:i w:val="0"/>
          <w:sz w:val="20"/>
        </w:rPr>
        <w:t>Each party shall hold the other's Confidential Information in strict confidence, use it solely for the purposes of this Agreement, and disclose it only to Representatives with a need-to-know who are bound by equivalent obligations. Obligations survive 5 years post-termination; trade secrets remain protected for as long as they retain trade-secret character.</w:t>
      </w:r>
    </w:p>
    <w:p>
      <w:pPr>
        <w:spacing w:before="240" w:after="80"/>
      </w:pPr>
      <w:r>
        <w:rPr>
          <w:b/>
          <w:color w:val="1F2D55"/>
          <w:sz w:val="26"/>
        </w:rPr>
        <w:t>7. Intellectual property</w:t>
      </w:r>
    </w:p>
    <w:p>
      <w:pPr>
        <w:spacing w:after="80"/>
      </w:pPr>
      <w:r>
        <w:rPr>
          <w:i w:val="0"/>
          <w:sz w:val="20"/>
        </w:rPr>
        <w:t>Pre-existing IP remains the property of the originating party. New IP created by the Counterparty in performance of the Services vests in Zava upon creation; the Counterparty assigns all such IP to Zava without further consideration. Each party grants the other a non-exclusive royalty-free licence to use the other party's IP solely to the extent necessary to perform this Agreement.</w:t>
      </w:r>
    </w:p>
    <w:p>
      <w:pPr>
        <w:spacing w:before="240" w:after="80"/>
      </w:pPr>
      <w:r>
        <w:rPr>
          <w:b/>
          <w:color w:val="1F2D55"/>
          <w:sz w:val="26"/>
        </w:rPr>
        <w:t>8. Liability and indemnity</w:t>
      </w:r>
    </w:p>
    <w:p>
      <w:pPr>
        <w:spacing w:after="80"/>
      </w:pPr>
      <w:r>
        <w:rPr>
          <w:i w:val="0"/>
          <w:sz w:val="20"/>
        </w:rPr>
        <w:t>Each party's aggregate liability under or in connection with this Agreement is capped at 100% of the fees paid or payable in the 12 months preceding the claim. No party is liable for indirect, consequential or loss-of-profit damages except in cases of (a) fraud, (b) wilful misconduct, (c) breach of confidentiality, or (d) IP infringement, for which the cap does not apply.</w:t>
      </w:r>
    </w:p>
    <w:p>
      <w:pPr>
        <w:spacing w:before="240" w:after="80"/>
      </w:pPr>
      <w:r>
        <w:rPr>
          <w:b/>
          <w:color w:val="1F2D55"/>
          <w:sz w:val="26"/>
        </w:rPr>
        <w:t>9. Insurance</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1F2D55"/>
          </w:tcPr>
          <w:p>
            <w:r>
              <w:rPr>
                <w:b/>
                <w:color w:val="FFFFFF"/>
                <w:sz w:val="18"/>
              </w:rPr>
              <w:t>Cover</w:t>
            </w:r>
          </w:p>
        </w:tc>
        <w:tc>
          <w:tcPr>
            <w:tcW w:type="dxa" w:w="2880"/>
            <w:shd w:val="clear" w:color="auto" w:fill="1F2D55"/>
          </w:tcPr>
          <w:p>
            <w:r>
              <w:rPr>
                <w:b/>
                <w:color w:val="FFFFFF"/>
                <w:sz w:val="18"/>
              </w:rPr>
              <w:t>Minimum sum insured</w:t>
            </w:r>
          </w:p>
        </w:tc>
        <w:tc>
          <w:tcPr>
            <w:tcW w:type="dxa" w:w="2880"/>
            <w:shd w:val="clear" w:color="auto" w:fill="1F2D55"/>
          </w:tcPr>
          <w:p>
            <w:r>
              <w:rPr>
                <w:b/>
                <w:color w:val="FFFFFF"/>
                <w:sz w:val="18"/>
              </w:rPr>
              <w:t>Notes</w:t>
            </w:r>
          </w:p>
        </w:tc>
      </w:tr>
      <w:tr>
        <w:tc>
          <w:tcPr>
            <w:tcW w:type="dxa" w:w="2880"/>
          </w:tcPr>
          <w:p>
            <w:r>
              <w:rPr>
                <w:sz w:val="18"/>
              </w:rPr>
              <w:t>Public liability</w:t>
            </w:r>
          </w:p>
        </w:tc>
        <w:tc>
          <w:tcPr>
            <w:tcW w:type="dxa" w:w="2880"/>
          </w:tcPr>
          <w:p>
            <w:r>
              <w:rPr>
                <w:sz w:val="18"/>
              </w:rPr>
              <w:t>MYR 10,000,000 per occurrence</w:t>
            </w:r>
          </w:p>
        </w:tc>
        <w:tc>
          <w:tcPr>
            <w:tcW w:type="dxa" w:w="2880"/>
          </w:tcPr>
          <w:p>
            <w:r>
              <w:rPr>
                <w:sz w:val="18"/>
              </w:rPr>
              <w:t>AAA-rated insurer</w:t>
            </w:r>
          </w:p>
        </w:tc>
      </w:tr>
      <w:tr>
        <w:tc>
          <w:tcPr>
            <w:tcW w:type="dxa" w:w="2880"/>
          </w:tcPr>
          <w:p>
            <w:r>
              <w:rPr>
                <w:sz w:val="18"/>
              </w:rPr>
              <w:t>Professional indemnity</w:t>
            </w:r>
          </w:p>
        </w:tc>
        <w:tc>
          <w:tcPr>
            <w:tcW w:type="dxa" w:w="2880"/>
          </w:tcPr>
          <w:p>
            <w:r>
              <w:rPr>
                <w:sz w:val="18"/>
              </w:rPr>
              <w:t>MYR 20,000,000 in aggregate</w:t>
            </w:r>
          </w:p>
        </w:tc>
        <w:tc>
          <w:tcPr>
            <w:tcW w:type="dxa" w:w="2880"/>
          </w:tcPr>
          <w:p>
            <w:r>
              <w:rPr>
                <w:sz w:val="18"/>
              </w:rPr>
              <w:t>Required for advisory engagements</w:t>
            </w:r>
          </w:p>
        </w:tc>
      </w:tr>
      <w:tr>
        <w:tc>
          <w:tcPr>
            <w:tcW w:type="dxa" w:w="2880"/>
          </w:tcPr>
          <w:p>
            <w:r>
              <w:rPr>
                <w:sz w:val="18"/>
              </w:rPr>
              <w:t>Cyber liability</w:t>
            </w:r>
          </w:p>
        </w:tc>
        <w:tc>
          <w:tcPr>
            <w:tcW w:type="dxa" w:w="2880"/>
          </w:tcPr>
          <w:p>
            <w:r>
              <w:rPr>
                <w:sz w:val="18"/>
              </w:rPr>
              <w:t>MYR 25,000,000 in aggregate</w:t>
            </w:r>
          </w:p>
        </w:tc>
        <w:tc>
          <w:tcPr>
            <w:tcW w:type="dxa" w:w="2880"/>
          </w:tcPr>
          <w:p>
            <w:r>
              <w:rPr>
                <w:sz w:val="18"/>
              </w:rPr>
              <w:t>Required for any party processing Zava data</w:t>
            </w:r>
          </w:p>
        </w:tc>
      </w:tr>
      <w:tr>
        <w:tc>
          <w:tcPr>
            <w:tcW w:type="dxa" w:w="2880"/>
          </w:tcPr>
          <w:p>
            <w:r>
              <w:rPr>
                <w:sz w:val="18"/>
              </w:rPr>
              <w:t>Workmen's comp</w:t>
            </w:r>
          </w:p>
        </w:tc>
        <w:tc>
          <w:tcPr>
            <w:tcW w:type="dxa" w:w="2880"/>
          </w:tcPr>
          <w:p>
            <w:r>
              <w:rPr>
                <w:sz w:val="18"/>
              </w:rPr>
              <w:t>Statutory minimum</w:t>
            </w:r>
          </w:p>
        </w:tc>
        <w:tc>
          <w:tcPr>
            <w:tcW w:type="dxa" w:w="2880"/>
          </w:tcPr>
          <w:p>
            <w:r>
              <w:rPr>
                <w:sz w:val="18"/>
              </w:rPr>
              <w:t>All on-site personnel</w:t>
            </w:r>
          </w:p>
        </w:tc>
      </w:tr>
    </w:tbl>
    <w:p>
      <w:pPr>
        <w:spacing w:before="240" w:after="80"/>
      </w:pPr>
      <w:r>
        <w:rPr>
          <w:b/>
          <w:color w:val="1F2D55"/>
          <w:sz w:val="26"/>
        </w:rPr>
        <w:t>10. Compliance and audit</w:t>
      </w:r>
    </w:p>
    <w:p>
      <w:pPr>
        <w:spacing w:after="80"/>
      </w:pPr>
      <w:r>
        <w:rPr>
          <w:i w:val="0"/>
          <w:sz w:val="20"/>
        </w:rPr>
        <w:t>Zava (or its auditors) may audit the Counterparty's records relating to this Agreement on 14 days' notice, no more than twice per year, during business hours. The Counterparty shall cooperate fully. Findings of material non-compliance must be remediated within 30 days at the Counterparty's cost.</w:t>
      </w:r>
    </w:p>
    <w:p>
      <w:pPr>
        <w:spacing w:before="240" w:after="80"/>
      </w:pPr>
      <w:r>
        <w:rPr>
          <w:b/>
          <w:color w:val="1F2D55"/>
          <w:sz w:val="26"/>
        </w:rPr>
        <w:t>11. Force majeure</w:t>
      </w:r>
    </w:p>
    <w:p>
      <w:pPr>
        <w:spacing w:after="80"/>
      </w:pPr>
      <w:r>
        <w:rPr>
          <w:i w:val="0"/>
          <w:sz w:val="20"/>
        </w:rPr>
        <w:t>Neither party is in breach for failure to perform caused by a Force Majeure Event, provided the affected party (a) notifies promptly, (b) uses reasonable endeavours to mitigate, and (c) resumes performance once the event abates. If a Force Majeure Event persists &gt;60 days, either party may terminate for convenience without liability beyond accrued amounts.</w:t>
      </w:r>
    </w:p>
    <w:p>
      <w:pPr>
        <w:spacing w:before="240" w:after="80"/>
      </w:pPr>
      <w:r>
        <w:rPr>
          <w:b/>
          <w:color w:val="1F2D55"/>
          <w:sz w:val="26"/>
        </w:rPr>
        <w:t>12. Termination</w:t>
      </w:r>
    </w:p>
    <w:p>
      <w:pPr>
        <w:pStyle w:val="ListBullet"/>
        <w:spacing w:after="40"/>
      </w:pPr>
      <w:r>
        <w:rPr>
          <w:sz w:val="20"/>
        </w:rPr>
        <w:t>For convenience: 90 days' written notice by either party.</w:t>
      </w:r>
    </w:p>
    <w:p>
      <w:pPr>
        <w:pStyle w:val="ListBullet"/>
        <w:spacing w:after="40"/>
      </w:pPr>
      <w:r>
        <w:rPr>
          <w:sz w:val="20"/>
        </w:rPr>
        <w:t>For Material Breach: 30 days' cure period; immediate if not capable of cure.</w:t>
      </w:r>
    </w:p>
    <w:p>
      <w:pPr>
        <w:pStyle w:val="ListBullet"/>
        <w:spacing w:after="40"/>
      </w:pPr>
      <w:r>
        <w:rPr>
          <w:sz w:val="20"/>
        </w:rPr>
        <w:t>For Insolvency: immediate upon any insolvency event affecting the other party.</w:t>
      </w:r>
    </w:p>
    <w:p>
      <w:pPr>
        <w:pStyle w:val="ListBullet"/>
        <w:spacing w:after="40"/>
      </w:pPr>
      <w:r>
        <w:rPr>
          <w:sz w:val="20"/>
        </w:rPr>
        <w:t>For Change of Control: 60 days' notice if Zava reasonably objects.</w:t>
      </w:r>
    </w:p>
    <w:p>
      <w:pPr>
        <w:spacing w:before="240" w:after="80"/>
      </w:pPr>
      <w:r>
        <w:rPr>
          <w:b/>
          <w:color w:val="1F2D55"/>
          <w:sz w:val="26"/>
        </w:rPr>
        <w:t>13. Dispute resolution</w:t>
      </w:r>
    </w:p>
    <w:p>
      <w:pPr>
        <w:spacing w:after="80"/>
      </w:pPr>
      <w:r>
        <w:rPr>
          <w:i w:val="0"/>
          <w:sz w:val="20"/>
        </w:rPr>
        <w:t>Disputes shall first be referred to senior management of both parties for good-faith resolution within 30 days. Unresolved disputes shall be referred to arbitration under the AIAC i-Arbitration Rules; seat Kuala Lumpur; English; three-arbitrator panel. The losing party shall bear the costs unless the tribunal orders otherwise.</w:t>
      </w:r>
    </w:p>
    <w:p>
      <w:pPr>
        <w:spacing w:before="240" w:after="80"/>
      </w:pPr>
      <w:r>
        <w:rPr>
          <w:b/>
          <w:color w:val="1F2D55"/>
          <w:sz w:val="26"/>
        </w:rPr>
        <w:t>14. General provisions</w:t>
      </w:r>
    </w:p>
    <w:p>
      <w:pPr>
        <w:pStyle w:val="ListBullet"/>
        <w:spacing w:after="40"/>
      </w:pPr>
      <w:r>
        <w:rPr>
          <w:sz w:val="20"/>
        </w:rPr>
        <w:t>Notices: in writing to the addresses in Schedule 1, with copy by email to legal@zava-group.com</w:t>
      </w:r>
    </w:p>
    <w:p>
      <w:pPr>
        <w:pStyle w:val="ListBullet"/>
        <w:spacing w:after="40"/>
      </w:pPr>
      <w:r>
        <w:rPr>
          <w:sz w:val="20"/>
        </w:rPr>
        <w:t>Assignment: neither party may assign without the other's written consent (not unreasonably withheld)</w:t>
      </w:r>
    </w:p>
    <w:p>
      <w:pPr>
        <w:pStyle w:val="ListBullet"/>
        <w:spacing w:after="40"/>
      </w:pPr>
      <w:r>
        <w:rPr>
          <w:sz w:val="20"/>
        </w:rPr>
        <w:t>Entire agreement: this Agreement (with Schedules) constitutes the entire understanding; supersedes prior agreements</w:t>
      </w:r>
    </w:p>
    <w:p>
      <w:pPr>
        <w:pStyle w:val="ListBullet"/>
        <w:spacing w:after="40"/>
      </w:pPr>
      <w:r>
        <w:rPr>
          <w:sz w:val="20"/>
        </w:rPr>
        <w:t>Severability: invalidity of any provision does not affect the rest</w:t>
      </w:r>
    </w:p>
    <w:p>
      <w:pPr>
        <w:pStyle w:val="ListBullet"/>
        <w:spacing w:after="40"/>
      </w:pPr>
      <w:r>
        <w:rPr>
          <w:sz w:val="20"/>
        </w:rPr>
        <w:t>Counterparts: may be executed in counterparts; electronic signatures binding</w:t>
      </w:r>
    </w:p>
    <w:p>
      <w:pPr>
        <w:spacing w:before="240" w:after="80"/>
      </w:pPr>
      <w:r>
        <w:rPr>
          <w:b/>
          <w:color w:val="1F2D55"/>
          <w:sz w:val="26"/>
        </w:rPr>
        <w:t>Execution</w:t>
      </w:r>
    </w:p>
    <w:p>
      <w:pPr>
        <w:spacing w:after="80"/>
      </w:pPr>
      <w:r>
        <w:rPr>
          <w:i w:val="0"/>
          <w:sz w:val="20"/>
        </w:rPr>
        <w:t>IN WITNESS WHEREOF, the parties hereto have executed this Agreement on the Effective Date.</w:t>
      </w:r>
    </w:p>
    <w:p>
      <w:pPr>
        <w:spacing w:after="80"/>
      </w:pPr>
      <w:r>
        <w:rPr>
          <w:i w:val="0"/>
          <w:sz w:val="20"/>
        </w:rPr>
        <w:t>_________________________   For and on behalf of Zava Conglomerate Bhd</w:t>
      </w:r>
    </w:p>
    <w:p>
      <w:pPr>
        <w:spacing w:after="80"/>
      </w:pPr>
      <w:r>
        <w:rPr>
          <w:i w:val="0"/>
          <w:sz w:val="20"/>
        </w:rPr>
        <w:t>Name: Hadar Caspit   ·   Title: Group Chief Financial Officer</w:t>
      </w:r>
    </w:p>
    <w:p>
      <w:pPr>
        <w:spacing w:after="80"/>
      </w:pPr>
      <w:r>
        <w:rPr>
          <w:i w:val="0"/>
          <w:sz w:val="20"/>
        </w:rPr>
      </w:r>
    </w:p>
    <w:p>
      <w:pPr>
        <w:spacing w:after="80"/>
      </w:pPr>
      <w:r>
        <w:rPr>
          <w:i w:val="0"/>
          <w:sz w:val="20"/>
        </w:rPr>
        <w:t>_________________________   For and on behalf of [Counterparty]</w:t>
      </w:r>
    </w:p>
    <w:p>
      <w:pPr>
        <w:spacing w:after="80"/>
      </w:pPr>
      <w:r>
        <w:rPr>
          <w:i w:val="0"/>
          <w:sz w:val="20"/>
        </w:rPr>
        <w:t>Name: [name]   ·   Title: [title]</w:t>
      </w:r>
    </w:p>
    <w:p>
      <w:pPr>
        <w:jc w:val="center"/>
      </w:pPr>
      <w:r>
        <w:rPr>
          <w:i/>
          <w:color w:val="9CA3AF"/>
          <w:sz w:val="16"/>
        </w:rPr>
        <w:t>— END OF DOCUMENT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