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MFG 02 Quality Management System</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DOC-2026-228</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19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MFG_02_Quality_Management_System.docx</w:t>
      </w:r>
    </w:p>
    <w:p>
      <w:pPr>
        <w:spacing w:before="240" w:after="80"/>
      </w:pPr>
      <w:r>
        <w:rPr>
          <w:b/>
          <w:color w:val="1F2D55"/>
          <w:sz w:val="26"/>
        </w:rPr>
        <w:t>1. Purpose and context</w:t>
      </w:r>
    </w:p>
    <w:p>
      <w:pPr>
        <w:spacing w:after="80"/>
      </w:pPr>
      <w:r>
        <w:rPr>
          <w:i w:val="0"/>
          <w:sz w:val="20"/>
        </w:rPr>
        <w:t>This document covers the subject matter referenced in the title above (MFG 02 Quality Management System).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