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MKT Divisional Brands</w:t>
      </w:r>
    </w:p>
    <w:p>
      <w:pPr>
        <w:spacing w:after="200"/>
      </w:pPr>
      <w:r>
        <w:rPr>
          <w:i/>
          <w:color w:val="4B5B7C"/>
          <w:sz w:val="22"/>
        </w:rPr>
        <w:t>Strategy Document · Zava Forward 2030</w:t>
      </w:r>
    </w:p>
    <w:p>
      <w:pPr>
        <w:spacing w:after="40"/>
      </w:pPr>
      <w:r>
        <w:rPr>
          <w:b/>
          <w:color w:val="1F2D55"/>
          <w:sz w:val="20"/>
        </w:rPr>
        <w:t xml:space="preserve">Owner:  </w:t>
      </w:r>
      <w:r>
        <w:rPr>
          <w:sz w:val="20"/>
        </w:rPr>
        <w:t>Group Strategy Director</w:t>
      </w:r>
    </w:p>
    <w:p>
      <w:pPr>
        <w:spacing w:after="40"/>
      </w:pPr>
      <w:r>
        <w:rPr>
          <w:b/>
          <w:color w:val="1F2D55"/>
          <w:sz w:val="20"/>
        </w:rPr>
        <w:t xml:space="preserve">Approved:  </w:t>
      </w:r>
      <w:r>
        <w:rPr>
          <w:sz w:val="20"/>
        </w:rPr>
        <w:t>Board, May 2026</w:t>
      </w:r>
    </w:p>
    <w:p>
      <w:pPr>
        <w:spacing w:after="40"/>
      </w:pPr>
      <w:r>
        <w:rPr>
          <w:b/>
          <w:color w:val="1F2D55"/>
          <w:sz w:val="20"/>
        </w:rPr>
        <w:t xml:space="preserve">Horizon:  </w:t>
      </w:r>
      <w:r>
        <w:rPr>
          <w:sz w:val="20"/>
        </w:rPr>
        <w:t>FY2026 – FY2030</w:t>
      </w:r>
    </w:p>
    <w:p>
      <w:pPr>
        <w:spacing w:after="40"/>
      </w:pPr>
      <w:r>
        <w:rPr>
          <w:b/>
          <w:color w:val="1F2D55"/>
          <w:sz w:val="20"/>
        </w:rPr>
        <w:t xml:space="preserve">Review cadence:  </w:t>
      </w:r>
      <w:r>
        <w:rPr>
          <w:sz w:val="20"/>
        </w:rPr>
        <w:t>Annual full refresh; quarterly progress review</w:t>
      </w:r>
    </w:p>
    <w:p>
      <w:pPr>
        <w:spacing w:after="40"/>
      </w:pPr>
      <w:r>
        <w:rPr>
          <w:b/>
          <w:color w:val="1F2D55"/>
          <w:sz w:val="20"/>
        </w:rPr>
        <w:t xml:space="preserve">Source file:  </w:t>
      </w:r>
      <w:r>
        <w:rPr>
          <w:sz w:val="20"/>
        </w:rPr>
        <w:t>MKT_Divisional_Brands.docx</w:t>
      </w:r>
    </w:p>
    <w:p>
      <w:pPr>
        <w:spacing w:before="240" w:after="80"/>
      </w:pPr>
      <w:r>
        <w:rPr>
          <w:b/>
          <w:color w:val="1F2D55"/>
          <w:sz w:val="26"/>
        </w:rPr>
        <w:t>Our purpose</w:t>
      </w:r>
    </w:p>
    <w:p>
      <w:pPr>
        <w:spacing w:after="80"/>
      </w:pPr>
      <w:r>
        <w:rPr>
          <w:i w:val="0"/>
          <w:sz w:val="20"/>
        </w:rPr>
        <w:t>Zava Conglomerate exists to build enduring businesses that create value for shareholders, opportunities for employees and positive impact for the communities in which we operate. The purpose has remained constant since the Group's founding; what changes is the means by which we deliver it.</w:t>
      </w:r>
    </w:p>
    <w:p>
      <w:pPr>
        <w:spacing w:before="240" w:after="80"/>
      </w:pPr>
      <w:r>
        <w:rPr>
          <w:b/>
          <w:color w:val="1F2D55"/>
          <w:sz w:val="26"/>
        </w:rPr>
        <w:t>Our 2030 ambition</w:t>
      </w:r>
    </w:p>
    <w:p>
      <w:pPr>
        <w:spacing w:after="80"/>
      </w:pPr>
      <w:r>
        <w:rPr>
          <w:i w:val="0"/>
          <w:sz w:val="20"/>
        </w:rPr>
        <w:t>By FY2030 we aim to be the most respected ASEAN-headquartered diversified conglomerate, measured by total shareholder return, employee engagement, and ESG performance. We will grow Group revenue from MYR 44 billion (FY2025) to MYR 72-78 billion (FY2030), with EBITDA margin sustained at 20-22%, ROIC at or above 13%, and Net Debt/EBITDA between 2.0× and 2.5×.</w:t>
      </w:r>
    </w:p>
    <w:p>
      <w:pPr>
        <w:spacing w:before="240" w:after="80"/>
      </w:pPr>
      <w:r>
        <w:rPr>
          <w:b/>
          <w:color w:val="1F2D55"/>
          <w:sz w:val="26"/>
        </w:rPr>
        <w:t>The five strategic pillars</w:t>
      </w:r>
    </w:p>
    <w:p>
      <w:pPr>
        <w:spacing w:before="160" w:after="40"/>
      </w:pPr>
      <w:r>
        <w:rPr>
          <w:b/>
          <w:color w:val="4B5B7C"/>
          <w:sz w:val="22"/>
        </w:rPr>
        <w:t>Pillar 1 — Focus the portfolio</w:t>
      </w:r>
    </w:p>
    <w:p>
      <w:pPr>
        <w:spacing w:after="80"/>
      </w:pPr>
      <w:r>
        <w:rPr>
          <w:i w:val="0"/>
          <w:sz w:val="20"/>
        </w:rPr>
        <w:t>Concentrate capital on businesses where Zava can be top-quartile in its market. Active rotation: targeted exit from sub-scale positions; targeted bolt-on M&amp;A in growth platforms (Healthcare Services, Industrial Manufacturing, Digital Infrastructure). Target portfolio composition by 2030: 70% growth, 25% mature, 5% optionality.</w:t>
      </w:r>
    </w:p>
    <w:p>
      <w:pPr>
        <w:spacing w:before="160" w:after="40"/>
      </w:pPr>
      <w:r>
        <w:rPr>
          <w:b/>
          <w:color w:val="4B5B7C"/>
          <w:sz w:val="22"/>
        </w:rPr>
        <w:t>Pillar 2 — Operate with discipline</w:t>
      </w:r>
    </w:p>
    <w:p>
      <w:pPr>
        <w:spacing w:after="80"/>
      </w:pPr>
      <w:r>
        <w:rPr>
          <w:i w:val="0"/>
          <w:sz w:val="20"/>
        </w:rPr>
        <w:t>Build top-quartile execution. Performance management cadence at divisional, departmental and team level. Continuous-improvement programme across 11 divisions. Shared-services consolidation to release MYR 180-240m run-rate by FY2028. Digital-first operating model: 70% management-user analytics adoption by FY2027.</w:t>
      </w:r>
    </w:p>
    <w:p>
      <w:pPr>
        <w:spacing w:before="160" w:after="40"/>
      </w:pPr>
      <w:r>
        <w:rPr>
          <w:b/>
          <w:color w:val="4B5B7C"/>
          <w:sz w:val="22"/>
        </w:rPr>
        <w:t>Pillar 3 — Lead in our markets</w:t>
      </w:r>
    </w:p>
    <w:p>
      <w:pPr>
        <w:spacing w:after="80"/>
      </w:pPr>
      <w:r>
        <w:rPr>
          <w:i w:val="0"/>
          <w:sz w:val="20"/>
        </w:rPr>
        <w:t>Customer obsession: NPS leadership in 7 of 11 divisions. Brand investment targeted at growth platforms. Innovation pipeline: 20% of revenue from products launched in the prior 3 years.</w:t>
      </w:r>
    </w:p>
    <w:p>
      <w:pPr>
        <w:spacing w:before="160" w:after="40"/>
      </w:pPr>
      <w:r>
        <w:rPr>
          <w:b/>
          <w:color w:val="4B5B7C"/>
          <w:sz w:val="22"/>
        </w:rPr>
        <w:t>Pillar 4 — Build the team</w:t>
      </w:r>
    </w:p>
    <w:p>
      <w:pPr>
        <w:spacing w:after="80"/>
      </w:pPr>
      <w:r>
        <w:rPr>
          <w:i w:val="0"/>
          <w:sz w:val="20"/>
        </w:rPr>
        <w:t>Talent is the binding constraint. Top-talent retention &gt;92%. Internal mobility &gt;35%. Leadership bench: 2 ready-now successors for every top-200 role by end-FY2028. Employee engagement &gt;82% (Group avg) and &gt;75% in every division.</w:t>
      </w:r>
    </w:p>
    <w:p>
      <w:pPr>
        <w:spacing w:before="160" w:after="40"/>
      </w:pPr>
      <w:r>
        <w:rPr>
          <w:b/>
          <w:color w:val="4B5B7C"/>
          <w:sz w:val="22"/>
        </w:rPr>
        <w:t>Pillar 5 — Anchor in trust</w:t>
      </w:r>
    </w:p>
    <w:p>
      <w:pPr>
        <w:spacing w:after="80"/>
      </w:pPr>
      <w:r>
        <w:rPr>
          <w:i w:val="0"/>
          <w:sz w:val="20"/>
        </w:rPr>
        <w:t>Governance, compliance and ESG performance that compound trust over time. Net-zero Scope-1 and Scope-2 by 2045; Scope-3 by 2055. ISSB-aligned disclosures with external assurance from FY2027. Whistleblowing culture: speak-up index above benchmark. Zero tolerance for material compliance breach.</w:t>
      </w:r>
    </w:p>
    <w:p>
      <w:pPr>
        <w:spacing w:before="240" w:after="80"/>
      </w:pPr>
      <w:r>
        <w:rPr>
          <w:b/>
          <w:color w:val="1F2D55"/>
          <w:sz w:val="26"/>
        </w:rPr>
        <w:t>Capital allocation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Use of capital</w:t>
            </w:r>
          </w:p>
        </w:tc>
        <w:tc>
          <w:tcPr>
            <w:tcW w:type="dxa" w:w="2880"/>
            <w:shd w:val="clear" w:color="auto" w:fill="1F2D55"/>
          </w:tcPr>
          <w:p>
            <w:r>
              <w:rPr>
                <w:b/>
                <w:color w:val="FFFFFF"/>
                <w:sz w:val="18"/>
              </w:rPr>
              <w:t>FY2026-2030 share</w:t>
            </w:r>
          </w:p>
        </w:tc>
        <w:tc>
          <w:tcPr>
            <w:tcW w:type="dxa" w:w="2880"/>
            <w:shd w:val="clear" w:color="auto" w:fill="1F2D55"/>
          </w:tcPr>
          <w:p>
            <w:r>
              <w:rPr>
                <w:b/>
                <w:color w:val="FFFFFF"/>
                <w:sz w:val="18"/>
              </w:rPr>
              <w:t>Notes</w:t>
            </w:r>
          </w:p>
        </w:tc>
      </w:tr>
      <w:tr>
        <w:tc>
          <w:tcPr>
            <w:tcW w:type="dxa" w:w="2880"/>
          </w:tcPr>
          <w:p>
            <w:r>
              <w:rPr>
                <w:sz w:val="18"/>
              </w:rPr>
              <w:t>Organic capex — growth</w:t>
            </w:r>
          </w:p>
        </w:tc>
        <w:tc>
          <w:tcPr>
            <w:tcW w:type="dxa" w:w="2880"/>
          </w:tcPr>
          <w:p>
            <w:r>
              <w:rPr>
                <w:sz w:val="18"/>
              </w:rPr>
              <w:t>40%</w:t>
            </w:r>
          </w:p>
        </w:tc>
        <w:tc>
          <w:tcPr>
            <w:tcW w:type="dxa" w:w="2880"/>
          </w:tcPr>
          <w:p>
            <w:r>
              <w:rPr>
                <w:sz w:val="18"/>
              </w:rPr>
              <w:t>Healthcare, Industrial Manufacturing, Digital Infrastructure</w:t>
            </w:r>
          </w:p>
        </w:tc>
      </w:tr>
      <w:tr>
        <w:tc>
          <w:tcPr>
            <w:tcW w:type="dxa" w:w="2880"/>
          </w:tcPr>
          <w:p>
            <w:r>
              <w:rPr>
                <w:sz w:val="18"/>
              </w:rPr>
              <w:t>Organic capex — maintenance</w:t>
            </w:r>
          </w:p>
        </w:tc>
        <w:tc>
          <w:tcPr>
            <w:tcW w:type="dxa" w:w="2880"/>
          </w:tcPr>
          <w:p>
            <w:r>
              <w:rPr>
                <w:sz w:val="18"/>
              </w:rPr>
              <w:t>20%</w:t>
            </w:r>
          </w:p>
        </w:tc>
        <w:tc>
          <w:tcPr>
            <w:tcW w:type="dxa" w:w="2880"/>
          </w:tcPr>
          <w:p>
            <w:r>
              <w:rPr>
                <w:sz w:val="18"/>
              </w:rPr>
              <w:t>All divisions; replacement and compliance</w:t>
            </w:r>
          </w:p>
        </w:tc>
      </w:tr>
      <w:tr>
        <w:tc>
          <w:tcPr>
            <w:tcW w:type="dxa" w:w="2880"/>
          </w:tcPr>
          <w:p>
            <w:r>
              <w:rPr>
                <w:sz w:val="18"/>
              </w:rPr>
              <w:t>M&amp;A — bolt-on growth</w:t>
            </w:r>
          </w:p>
        </w:tc>
        <w:tc>
          <w:tcPr>
            <w:tcW w:type="dxa" w:w="2880"/>
          </w:tcPr>
          <w:p>
            <w:r>
              <w:rPr>
                <w:sz w:val="18"/>
              </w:rPr>
              <w:t>20%</w:t>
            </w:r>
          </w:p>
        </w:tc>
        <w:tc>
          <w:tcPr>
            <w:tcW w:type="dxa" w:w="2880"/>
          </w:tcPr>
          <w:p>
            <w:r>
              <w:rPr>
                <w:sz w:val="18"/>
              </w:rPr>
              <w:t>Up to MYR 800m per transaction; up to 3 per year</w:t>
            </w:r>
          </w:p>
        </w:tc>
      </w:tr>
      <w:tr>
        <w:tc>
          <w:tcPr>
            <w:tcW w:type="dxa" w:w="2880"/>
          </w:tcPr>
          <w:p>
            <w:r>
              <w:rPr>
                <w:sz w:val="18"/>
              </w:rPr>
              <w:t>Shareholder returns — dividend</w:t>
            </w:r>
          </w:p>
        </w:tc>
        <w:tc>
          <w:tcPr>
            <w:tcW w:type="dxa" w:w="2880"/>
          </w:tcPr>
          <w:p>
            <w:r>
              <w:rPr>
                <w:sz w:val="18"/>
              </w:rPr>
              <w:t>12%</w:t>
            </w:r>
          </w:p>
        </w:tc>
        <w:tc>
          <w:tcPr>
            <w:tcW w:type="dxa" w:w="2880"/>
          </w:tcPr>
          <w:p>
            <w:r>
              <w:rPr>
                <w:sz w:val="18"/>
              </w:rPr>
              <w:t>Progressive policy; min 50% PAT pay-out</w:t>
            </w:r>
          </w:p>
        </w:tc>
      </w:tr>
      <w:tr>
        <w:tc>
          <w:tcPr>
            <w:tcW w:type="dxa" w:w="2880"/>
          </w:tcPr>
          <w:p>
            <w:r>
              <w:rPr>
                <w:sz w:val="18"/>
              </w:rPr>
              <w:t>Shareholder returns — buybacks</w:t>
            </w:r>
          </w:p>
        </w:tc>
        <w:tc>
          <w:tcPr>
            <w:tcW w:type="dxa" w:w="2880"/>
          </w:tcPr>
          <w:p>
            <w:r>
              <w:rPr>
                <w:sz w:val="18"/>
              </w:rPr>
              <w:t>5%</w:t>
            </w:r>
          </w:p>
        </w:tc>
        <w:tc>
          <w:tcPr>
            <w:tcW w:type="dxa" w:w="2880"/>
          </w:tcPr>
          <w:p>
            <w:r>
              <w:rPr>
                <w:sz w:val="18"/>
              </w:rPr>
              <w:t>Tactical; triggered on valuation</w:t>
            </w:r>
          </w:p>
        </w:tc>
      </w:tr>
      <w:tr>
        <w:tc>
          <w:tcPr>
            <w:tcW w:type="dxa" w:w="2880"/>
          </w:tcPr>
          <w:p>
            <w:r>
              <w:rPr>
                <w:sz w:val="18"/>
              </w:rPr>
              <w:t>Optionality / strategic reserves</w:t>
            </w:r>
          </w:p>
        </w:tc>
        <w:tc>
          <w:tcPr>
            <w:tcW w:type="dxa" w:w="2880"/>
          </w:tcPr>
          <w:p>
            <w:r>
              <w:rPr>
                <w:sz w:val="18"/>
              </w:rPr>
              <w:t>3%</w:t>
            </w:r>
          </w:p>
        </w:tc>
        <w:tc>
          <w:tcPr>
            <w:tcW w:type="dxa" w:w="2880"/>
          </w:tcPr>
          <w:p>
            <w:r>
              <w:rPr>
                <w:sz w:val="18"/>
              </w:rPr>
              <w:t>Headroom for opportunistic moves</w:t>
            </w:r>
          </w:p>
        </w:tc>
      </w:tr>
    </w:tbl>
    <w:p>
      <w:pPr>
        <w:spacing w:before="240" w:after="80"/>
      </w:pPr>
      <w:r>
        <w:rPr>
          <w:b/>
          <w:color w:val="1F2D55"/>
          <w:sz w:val="26"/>
        </w:rPr>
        <w:t>Division-level priorities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Division</w:t>
            </w:r>
          </w:p>
        </w:tc>
        <w:tc>
          <w:tcPr>
            <w:tcW w:type="dxa" w:w="2880"/>
            <w:shd w:val="clear" w:color="auto" w:fill="1F2D55"/>
          </w:tcPr>
          <w:p>
            <w:r>
              <w:rPr>
                <w:b/>
                <w:color w:val="FFFFFF"/>
                <w:sz w:val="18"/>
              </w:rPr>
              <w:t>Strategic stance</w:t>
            </w:r>
          </w:p>
        </w:tc>
        <w:tc>
          <w:tcPr>
            <w:tcW w:type="dxa" w:w="2880"/>
            <w:shd w:val="clear" w:color="auto" w:fill="1F2D55"/>
          </w:tcPr>
          <w:p>
            <w:r>
              <w:rPr>
                <w:b/>
                <w:color w:val="FFFFFF"/>
                <w:sz w:val="18"/>
              </w:rPr>
              <w:t>Top priority FY2026-FY2027</w:t>
            </w:r>
          </w:p>
        </w:tc>
      </w:tr>
      <w:tr>
        <w:tc>
          <w:tcPr>
            <w:tcW w:type="dxa" w:w="2880"/>
          </w:tcPr>
          <w:p>
            <w:r>
              <w:rPr>
                <w:sz w:val="18"/>
              </w:rPr>
              <w:t>Banking</w:t>
            </w:r>
          </w:p>
        </w:tc>
        <w:tc>
          <w:tcPr>
            <w:tcW w:type="dxa" w:w="2880"/>
          </w:tcPr>
          <w:p>
            <w:r>
              <w:rPr>
                <w:sz w:val="18"/>
              </w:rPr>
              <w:t>Defend &amp; modernise</w:t>
            </w:r>
          </w:p>
        </w:tc>
        <w:tc>
          <w:tcPr>
            <w:tcW w:type="dxa" w:w="2880"/>
          </w:tcPr>
          <w:p>
            <w:r>
              <w:rPr>
                <w:sz w:val="18"/>
              </w:rPr>
              <w:t>Digital-channel migration; cost-to-income to 38%</w:t>
            </w:r>
          </w:p>
        </w:tc>
      </w:tr>
      <w:tr>
        <w:tc>
          <w:tcPr>
            <w:tcW w:type="dxa" w:w="2880"/>
          </w:tcPr>
          <w:p>
            <w:r>
              <w:rPr>
                <w:sz w:val="18"/>
              </w:rPr>
              <w:t>Insurance</w:t>
            </w:r>
          </w:p>
        </w:tc>
        <w:tc>
          <w:tcPr>
            <w:tcW w:type="dxa" w:w="2880"/>
          </w:tcPr>
          <w:p>
            <w:r>
              <w:rPr>
                <w:sz w:val="18"/>
              </w:rPr>
              <w:t>Grow</w:t>
            </w:r>
          </w:p>
        </w:tc>
        <w:tc>
          <w:tcPr>
            <w:tcW w:type="dxa" w:w="2880"/>
          </w:tcPr>
          <w:p>
            <w:r>
              <w:rPr>
                <w:sz w:val="18"/>
              </w:rPr>
              <w:t>Bancassurance JV scale-up; bancassurance penetration &gt;18%</w:t>
            </w:r>
          </w:p>
        </w:tc>
      </w:tr>
      <w:tr>
        <w:tc>
          <w:tcPr>
            <w:tcW w:type="dxa" w:w="2880"/>
          </w:tcPr>
          <w:p>
            <w:r>
              <w:rPr>
                <w:sz w:val="18"/>
              </w:rPr>
              <w:t>Healthcare Services</w:t>
            </w:r>
          </w:p>
        </w:tc>
        <w:tc>
          <w:tcPr>
            <w:tcW w:type="dxa" w:w="2880"/>
          </w:tcPr>
          <w:p>
            <w:r>
              <w:rPr>
                <w:sz w:val="18"/>
              </w:rPr>
              <w:t>Grow</w:t>
            </w:r>
          </w:p>
        </w:tc>
        <w:tc>
          <w:tcPr>
            <w:tcW w:type="dxa" w:w="2880"/>
          </w:tcPr>
          <w:p>
            <w:r>
              <w:rPr>
                <w:sz w:val="18"/>
              </w:rPr>
              <w:t>5 hospitals to top-quartile margin; integrated tele-health roll-out</w:t>
            </w:r>
          </w:p>
        </w:tc>
      </w:tr>
      <w:tr>
        <w:tc>
          <w:tcPr>
            <w:tcW w:type="dxa" w:w="2880"/>
          </w:tcPr>
          <w:p>
            <w:r>
              <w:rPr>
                <w:sz w:val="18"/>
              </w:rPr>
              <w:t>Industrial Manufacturing</w:t>
            </w:r>
          </w:p>
        </w:tc>
        <w:tc>
          <w:tcPr>
            <w:tcW w:type="dxa" w:w="2880"/>
          </w:tcPr>
          <w:p>
            <w:r>
              <w:rPr>
                <w:sz w:val="18"/>
              </w:rPr>
              <w:t>Grow</w:t>
            </w:r>
          </w:p>
        </w:tc>
        <w:tc>
          <w:tcPr>
            <w:tcW w:type="dxa" w:w="2880"/>
          </w:tcPr>
          <w:p>
            <w:r>
              <w:rPr>
                <w:sz w:val="18"/>
              </w:rPr>
              <w:t>Capacity expansion at 2 plants; export-market share +200 bps</w:t>
            </w:r>
          </w:p>
        </w:tc>
      </w:tr>
      <w:tr>
        <w:tc>
          <w:tcPr>
            <w:tcW w:type="dxa" w:w="2880"/>
          </w:tcPr>
          <w:p>
            <w:r>
              <w:rPr>
                <w:sz w:val="18"/>
              </w:rPr>
              <w:t>Property Development</w:t>
            </w:r>
          </w:p>
        </w:tc>
        <w:tc>
          <w:tcPr>
            <w:tcW w:type="dxa" w:w="2880"/>
          </w:tcPr>
          <w:p>
            <w:r>
              <w:rPr>
                <w:sz w:val="18"/>
              </w:rPr>
              <w:t>Optimise &amp; monetise</w:t>
            </w:r>
          </w:p>
        </w:tc>
        <w:tc>
          <w:tcPr>
            <w:tcW w:type="dxa" w:w="2880"/>
          </w:tcPr>
          <w:p>
            <w:r>
              <w:rPr>
                <w:sz w:val="18"/>
              </w:rPr>
              <w:t>Two non-core asset divestments; capital recycling</w:t>
            </w:r>
          </w:p>
        </w:tc>
      </w:tr>
      <w:tr>
        <w:tc>
          <w:tcPr>
            <w:tcW w:type="dxa" w:w="2880"/>
          </w:tcPr>
          <w:p>
            <w:r>
              <w:rPr>
                <w:sz w:val="18"/>
              </w:rPr>
              <w:t>Oil &amp; Gas (downstream)</w:t>
            </w:r>
          </w:p>
        </w:tc>
        <w:tc>
          <w:tcPr>
            <w:tcW w:type="dxa" w:w="2880"/>
          </w:tcPr>
          <w:p>
            <w:r>
              <w:rPr>
                <w:sz w:val="18"/>
              </w:rPr>
              <w:t>Maintain</w:t>
            </w:r>
          </w:p>
        </w:tc>
        <w:tc>
          <w:tcPr>
            <w:tcW w:type="dxa" w:w="2880"/>
          </w:tcPr>
          <w:p>
            <w:r>
              <w:rPr>
                <w:sz w:val="18"/>
              </w:rPr>
              <w:t>HSE excellence; refinery utilisation &gt;88%</w:t>
            </w:r>
          </w:p>
        </w:tc>
      </w:tr>
      <w:tr>
        <w:tc>
          <w:tcPr>
            <w:tcW w:type="dxa" w:w="2880"/>
          </w:tcPr>
          <w:p>
            <w:r>
              <w:rPr>
                <w:sz w:val="18"/>
              </w:rPr>
              <w:t>Retail Distribution</w:t>
            </w:r>
          </w:p>
        </w:tc>
        <w:tc>
          <w:tcPr>
            <w:tcW w:type="dxa" w:w="2880"/>
          </w:tcPr>
          <w:p>
            <w:r>
              <w:rPr>
                <w:sz w:val="18"/>
              </w:rPr>
              <w:t>Optimise</w:t>
            </w:r>
          </w:p>
        </w:tc>
        <w:tc>
          <w:tcPr>
            <w:tcW w:type="dxa" w:w="2880"/>
          </w:tcPr>
          <w:p>
            <w:r>
              <w:rPr>
                <w:sz w:val="18"/>
              </w:rPr>
              <w:t>Margin recovery via mix; SKU rationalisation</w:t>
            </w:r>
          </w:p>
        </w:tc>
      </w:tr>
      <w:tr>
        <w:tc>
          <w:tcPr>
            <w:tcW w:type="dxa" w:w="2880"/>
          </w:tcPr>
          <w:p>
            <w:r>
              <w:rPr>
                <w:sz w:val="18"/>
              </w:rPr>
              <w:t>Hospitality</w:t>
            </w:r>
          </w:p>
        </w:tc>
        <w:tc>
          <w:tcPr>
            <w:tcW w:type="dxa" w:w="2880"/>
          </w:tcPr>
          <w:p>
            <w:r>
              <w:rPr>
                <w:sz w:val="18"/>
              </w:rPr>
              <w:t>Maintain</w:t>
            </w:r>
          </w:p>
        </w:tc>
        <w:tc>
          <w:tcPr>
            <w:tcW w:type="dxa" w:w="2880"/>
          </w:tcPr>
          <w:p>
            <w:r>
              <w:rPr>
                <w:sz w:val="18"/>
              </w:rPr>
              <w:t>Brand investment; RevPAR recovery to 2019 levels</w:t>
            </w:r>
          </w:p>
        </w:tc>
      </w:tr>
      <w:tr>
        <w:tc>
          <w:tcPr>
            <w:tcW w:type="dxa" w:w="2880"/>
          </w:tcPr>
          <w:p>
            <w:r>
              <w:rPr>
                <w:sz w:val="18"/>
              </w:rPr>
              <w:t>Digital Infrastructure</w:t>
            </w:r>
          </w:p>
        </w:tc>
        <w:tc>
          <w:tcPr>
            <w:tcW w:type="dxa" w:w="2880"/>
          </w:tcPr>
          <w:p>
            <w:r>
              <w:rPr>
                <w:sz w:val="18"/>
              </w:rPr>
              <w:t>Grow</w:t>
            </w:r>
          </w:p>
        </w:tc>
        <w:tc>
          <w:tcPr>
            <w:tcW w:type="dxa" w:w="2880"/>
          </w:tcPr>
          <w:p>
            <w:r>
              <w:rPr>
                <w:sz w:val="18"/>
              </w:rPr>
              <w:t>Data-centre capacity +60 MW; renewable PPA in place</w:t>
            </w:r>
          </w:p>
        </w:tc>
      </w:tr>
      <w:tr>
        <w:tc>
          <w:tcPr>
            <w:tcW w:type="dxa" w:w="2880"/>
          </w:tcPr>
          <w:p>
            <w:r>
              <w:rPr>
                <w:sz w:val="18"/>
              </w:rPr>
              <w:t>Education Services</w:t>
            </w:r>
          </w:p>
        </w:tc>
        <w:tc>
          <w:tcPr>
            <w:tcW w:type="dxa" w:w="2880"/>
          </w:tcPr>
          <w:p>
            <w:r>
              <w:rPr>
                <w:sz w:val="18"/>
              </w:rPr>
              <w:t>Optimise</w:t>
            </w:r>
          </w:p>
        </w:tc>
        <w:tc>
          <w:tcPr>
            <w:tcW w:type="dxa" w:w="2880"/>
          </w:tcPr>
          <w:p>
            <w:r>
              <w:rPr>
                <w:sz w:val="18"/>
              </w:rPr>
              <w:t>Operating margin to 16%; pathway integration</w:t>
            </w:r>
          </w:p>
        </w:tc>
      </w:tr>
      <w:tr>
        <w:tc>
          <w:tcPr>
            <w:tcW w:type="dxa" w:w="2880"/>
          </w:tcPr>
          <w:p>
            <w:r>
              <w:rPr>
                <w:sz w:val="18"/>
              </w:rPr>
              <w:t>Plantation</w:t>
            </w:r>
          </w:p>
        </w:tc>
        <w:tc>
          <w:tcPr>
            <w:tcW w:type="dxa" w:w="2880"/>
          </w:tcPr>
          <w:p>
            <w:r>
              <w:rPr>
                <w:sz w:val="18"/>
              </w:rPr>
              <w:t>Defend</w:t>
            </w:r>
          </w:p>
        </w:tc>
        <w:tc>
          <w:tcPr>
            <w:tcW w:type="dxa" w:w="2880"/>
          </w:tcPr>
          <w:p>
            <w:r>
              <w:rPr>
                <w:sz w:val="18"/>
              </w:rPr>
              <w:t>Yield uplift; downstream value-add scoping</w:t>
            </w:r>
          </w:p>
        </w:tc>
      </w:tr>
    </w:tbl>
    <w:p>
      <w:pPr>
        <w:spacing w:before="240" w:after="80"/>
      </w:pPr>
      <w:r>
        <w:rPr>
          <w:b/>
          <w:color w:val="1F2D55"/>
          <w:sz w:val="26"/>
        </w:rPr>
        <w:t>Strategic risks</w:t>
      </w:r>
    </w:p>
    <w:p>
      <w:pPr>
        <w:pStyle w:val="ListBullet"/>
        <w:spacing w:after="40"/>
      </w:pPr>
      <w:r>
        <w:rPr>
          <w:sz w:val="20"/>
        </w:rPr>
        <w:t>Macro: prolonged higher rates, ASEAN currency volatility, slower China demand.</w:t>
      </w:r>
    </w:p>
    <w:p>
      <w:pPr>
        <w:pStyle w:val="ListBullet"/>
        <w:spacing w:after="40"/>
      </w:pPr>
      <w:r>
        <w:rPr>
          <w:sz w:val="20"/>
        </w:rPr>
        <w:t>Regulatory: BNM / OJK consultations on capital, conduct, and ESG disclosure.</w:t>
      </w:r>
    </w:p>
    <w:p>
      <w:pPr>
        <w:pStyle w:val="ListBullet"/>
        <w:spacing w:after="40"/>
      </w:pPr>
      <w:r>
        <w:rPr>
          <w:sz w:val="20"/>
        </w:rPr>
        <w:t>Technology: AI-driven competitive disruption in Banking, Insurance, Retail.</w:t>
      </w:r>
    </w:p>
    <w:p>
      <w:pPr>
        <w:pStyle w:val="ListBullet"/>
        <w:spacing w:after="40"/>
      </w:pPr>
      <w:r>
        <w:rPr>
          <w:sz w:val="20"/>
        </w:rPr>
        <w:t>Talent: war for top digital talent intensifies; retention costs rise.</w:t>
      </w:r>
    </w:p>
    <w:p>
      <w:pPr>
        <w:pStyle w:val="ListBullet"/>
        <w:spacing w:after="40"/>
      </w:pPr>
      <w:r>
        <w:rPr>
          <w:sz w:val="20"/>
        </w:rPr>
        <w:t>Climate transition: physical and transition risks in select assets.</w:t>
      </w:r>
    </w:p>
    <w:p>
      <w:pPr>
        <w:pStyle w:val="ListBullet"/>
        <w:spacing w:after="40"/>
      </w:pPr>
      <w:r>
        <w:rPr>
          <w:sz w:val="20"/>
        </w:rPr>
        <w:t>Cyber: nation-state and ransomware threats elevated.</w:t>
      </w:r>
    </w:p>
    <w:p>
      <w:pPr>
        <w:spacing w:before="240" w:after="80"/>
      </w:pPr>
      <w:r>
        <w:rPr>
          <w:b/>
          <w:color w:val="1F2D55"/>
          <w:sz w:val="26"/>
        </w:rPr>
        <w:t>Governance and review</w:t>
      </w:r>
    </w:p>
    <w:p>
      <w:pPr>
        <w:spacing w:after="80"/>
      </w:pPr>
      <w:r>
        <w:rPr>
          <w:i w:val="0"/>
          <w:sz w:val="20"/>
        </w:rPr>
        <w:t>Annual full refresh of this strategy document each February ahead of the FY budget cycle. Quarterly review at the Strategy Sub-Committee of the Board, with KPI dashboard reporting to GroupExCo monthly. Any material change in strategic direction (e.g., divestment of a Pillar division) triggers Board re-approval.</w:t>
      </w:r>
    </w:p>
    <w:p>
      <w:pPr>
        <w:spacing w:before="240" w:after="80"/>
      </w:pPr>
      <w:r>
        <w:rPr>
          <w:b/>
          <w:color w:val="1F2D55"/>
          <w:sz w:val="26"/>
        </w:rPr>
        <w:t>Closing</w:t>
      </w:r>
    </w:p>
    <w:p>
      <w:pPr>
        <w:spacing w:after="80"/>
      </w:pPr>
      <w:r>
        <w:rPr>
          <w:i w:val="0"/>
          <w:sz w:val="20"/>
        </w:rPr>
        <w:t>Five pillars; 11 divisions; one Group. Discipline in execution is the bridge between purpose and ambition.</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