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6B7280"/>
          <w:sz w:val="18"/>
        </w:rPr>
        <w:t>ZAVA CONGLOMERATE</w:t>
      </w:r>
    </w:p>
    <w:p>
      <w:pPr>
        <w:spacing w:after="40"/>
      </w:pPr>
      <w:r>
        <w:rPr>
          <w:b/>
          <w:color w:val="1F2D55"/>
          <w:sz w:val="44"/>
        </w:rPr>
        <w:t>MORT 05 Rating Agency Submission</w:t>
      </w:r>
    </w:p>
    <w:p>
      <w:pPr>
        <w:spacing w:after="200"/>
      </w:pPr>
      <w:r>
        <w:rPr>
          <w:i/>
          <w:color w:val="4B5B7C"/>
          <w:sz w:val="22"/>
        </w:rPr>
        <w:t>Request for Proposal · Submission</w:t>
      </w:r>
    </w:p>
    <w:p>
      <w:pPr>
        <w:spacing w:after="40"/>
      </w:pPr>
      <w:r>
        <w:rPr>
          <w:b/>
          <w:color w:val="1F2D55"/>
          <w:sz w:val="20"/>
        </w:rPr>
        <w:t xml:space="preserve">RFP reference:  </w:t>
      </w:r>
      <w:r>
        <w:rPr>
          <w:sz w:val="20"/>
        </w:rPr>
        <w:t>RFP-2025-265</w:t>
      </w:r>
    </w:p>
    <w:p>
      <w:pPr>
        <w:spacing w:after="40"/>
      </w:pPr>
      <w:r>
        <w:rPr>
          <w:b/>
          <w:color w:val="1F2D55"/>
          <w:sz w:val="20"/>
        </w:rPr>
        <w:t xml:space="preserve">Issued by:  </w:t>
      </w:r>
      <w:r>
        <w:rPr>
          <w:sz w:val="20"/>
        </w:rPr>
        <w:t>Zava Conglomerate Group Procurement</w:t>
      </w:r>
    </w:p>
    <w:p>
      <w:pPr>
        <w:spacing w:after="40"/>
      </w:pPr>
      <w:r>
        <w:rPr>
          <w:b/>
          <w:color w:val="1F2D55"/>
          <w:sz w:val="20"/>
        </w:rPr>
        <w:t xml:space="preserve">Issue date:  </w:t>
      </w:r>
      <w:r>
        <w:rPr>
          <w:sz w:val="20"/>
        </w:rPr>
        <w:t>17 April 2026</w:t>
      </w:r>
    </w:p>
    <w:p>
      <w:pPr>
        <w:spacing w:after="40"/>
      </w:pPr>
      <w:r>
        <w:rPr>
          <w:b/>
          <w:color w:val="1F2D55"/>
          <w:sz w:val="20"/>
        </w:rPr>
        <w:t xml:space="preserve">Submission deadline:  </w:t>
      </w:r>
      <w:r>
        <w:rPr>
          <w:sz w:val="20"/>
        </w:rPr>
        <w:t>16 May 2026</w:t>
      </w:r>
    </w:p>
    <w:p>
      <w:pPr>
        <w:spacing w:after="40"/>
      </w:pPr>
      <w:r>
        <w:rPr>
          <w:b/>
          <w:color w:val="1F2D55"/>
          <w:sz w:val="20"/>
        </w:rPr>
        <w:t xml:space="preserve">Submission portal:  </w:t>
      </w:r>
      <w:r>
        <w:rPr>
          <w:sz w:val="20"/>
        </w:rPr>
        <w:t>ariba.zava-group.com/rfp/875503</w:t>
      </w:r>
    </w:p>
    <w:p>
      <w:pPr>
        <w:spacing w:after="40"/>
      </w:pPr>
      <w:r>
        <w:rPr>
          <w:b/>
          <w:color w:val="1F2D55"/>
          <w:sz w:val="20"/>
        </w:rPr>
        <w:t xml:space="preserve">Single point of contact:  </w:t>
      </w:r>
      <w:r>
        <w:rPr>
          <w:sz w:val="20"/>
        </w:rPr>
        <w:t>rfp-coord@zava-group.com (Sasha Ouellet, Procurement Director)</w:t>
      </w:r>
    </w:p>
    <w:p>
      <w:pPr>
        <w:spacing w:after="40"/>
      </w:pPr>
      <w:r>
        <w:rPr>
          <w:b/>
          <w:color w:val="1F2D55"/>
          <w:sz w:val="20"/>
        </w:rPr>
        <w:t xml:space="preserve">Source file:  </w:t>
      </w:r>
      <w:r>
        <w:rPr>
          <w:sz w:val="20"/>
        </w:rPr>
        <w:t>MORT_05_Rating_Agency_Submission.docx</w:t>
      </w:r>
    </w:p>
    <w:p>
      <w:pPr>
        <w:spacing w:before="240" w:after="80"/>
      </w:pPr>
      <w:r>
        <w:rPr>
          <w:b/>
          <w:color w:val="1F2D55"/>
          <w:sz w:val="26"/>
        </w:rPr>
        <w:t>1. Introduction</w:t>
      </w:r>
    </w:p>
    <w:p>
      <w:pPr>
        <w:spacing w:after="80"/>
      </w:pPr>
      <w:r>
        <w:rPr>
          <w:i w:val="0"/>
          <w:sz w:val="20"/>
        </w:rPr>
        <w:t>Zava Conglomerate (the "Buyer") invites suitably qualified bidders to submit proposals for MORT 05 Rating Agency Submission. The selected supplier will partner with the Buyer for an initial term of 36 months, renewable in 12-month increments subject to performance against agreed Service Levels.</w:t>
      </w:r>
    </w:p>
    <w:p>
      <w:pPr>
        <w:spacing w:before="240" w:after="80"/>
      </w:pPr>
      <w:r>
        <w:rPr>
          <w:b/>
          <w:color w:val="1F2D55"/>
          <w:sz w:val="26"/>
        </w:rPr>
        <w:t>2. Scope of services required</w:t>
      </w:r>
    </w:p>
    <w:p>
      <w:pPr>
        <w:spacing w:after="80"/>
      </w:pPr>
      <w:r>
        <w:rPr>
          <w:i w:val="0"/>
          <w:sz w:val="20"/>
        </w:rPr>
        <w:t>The Buyer requires a full-service provider capable of supplying the goods / services described below across all 11 operating divisions of the Group, with primary operations in Malaysia and Indonesia and secondary requirements in Singapore, Thailand and the Philippines.</w:t>
      </w:r>
    </w:p>
    <w:p>
      <w:pPr>
        <w:spacing w:before="160" w:after="40"/>
      </w:pPr>
      <w:r>
        <w:rPr>
          <w:b/>
          <w:color w:val="4B5B7C"/>
          <w:sz w:val="22"/>
        </w:rPr>
        <w:t>2.1 In-scope</w:t>
      </w:r>
    </w:p>
    <w:p>
      <w:pPr>
        <w:pStyle w:val="ListBullet"/>
        <w:spacing w:after="40"/>
      </w:pPr>
      <w:r>
        <w:rPr>
          <w:sz w:val="20"/>
        </w:rPr>
        <w:t>Core service delivery as described in Annex A — Technical Specification.</w:t>
      </w:r>
    </w:p>
    <w:p>
      <w:pPr>
        <w:pStyle w:val="ListBullet"/>
        <w:spacing w:after="40"/>
      </w:pPr>
      <w:r>
        <w:rPr>
          <w:sz w:val="20"/>
        </w:rPr>
        <w:t>Implementation, transition and steady-state operations.</w:t>
      </w:r>
    </w:p>
    <w:p>
      <w:pPr>
        <w:pStyle w:val="ListBullet"/>
        <w:spacing w:after="40"/>
      </w:pPr>
      <w:r>
        <w:rPr>
          <w:sz w:val="20"/>
        </w:rPr>
        <w:t>Performance reporting, governance and continuous improvement.</w:t>
      </w:r>
    </w:p>
    <w:p>
      <w:pPr>
        <w:pStyle w:val="ListBullet"/>
        <w:spacing w:after="40"/>
      </w:pPr>
      <w:r>
        <w:rPr>
          <w:sz w:val="20"/>
        </w:rPr>
        <w:t>Sustainability and ESG reporting aligned to Buyer Group standards.</w:t>
      </w:r>
    </w:p>
    <w:p>
      <w:pPr>
        <w:pStyle w:val="ListBullet"/>
        <w:spacing w:after="40"/>
      </w:pPr>
      <w:r>
        <w:rPr>
          <w:sz w:val="20"/>
        </w:rPr>
        <w:t>Knowledge transfer and exit planning.</w:t>
      </w:r>
    </w:p>
    <w:p>
      <w:pPr>
        <w:spacing w:before="160" w:after="40"/>
      </w:pPr>
      <w:r>
        <w:rPr>
          <w:b/>
          <w:color w:val="4B5B7C"/>
          <w:sz w:val="22"/>
        </w:rPr>
        <w:t>2.2 Out-of-scope</w:t>
      </w:r>
    </w:p>
    <w:p>
      <w:pPr>
        <w:pStyle w:val="ListBullet"/>
        <w:spacing w:after="40"/>
      </w:pPr>
      <w:r>
        <w:rPr>
          <w:sz w:val="20"/>
        </w:rPr>
        <w:t>Buyer-provided services and assets retained in-house.</w:t>
      </w:r>
    </w:p>
    <w:p>
      <w:pPr>
        <w:pStyle w:val="ListBullet"/>
        <w:spacing w:after="40"/>
      </w:pPr>
      <w:r>
        <w:rPr>
          <w:sz w:val="20"/>
        </w:rPr>
        <w:t>Activities at Buyer divisions undergoing portfolio rationalisation (Annex B).</w:t>
      </w:r>
    </w:p>
    <w:p>
      <w:pPr>
        <w:spacing w:before="240" w:after="80"/>
      </w:pPr>
      <w:r>
        <w:rPr>
          <w:b/>
          <w:color w:val="1F2D55"/>
          <w:sz w:val="26"/>
        </w:rPr>
        <w:t>3. Evaluation criteria</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1F2D55"/>
          </w:tcPr>
          <w:p>
            <w:r>
              <w:rPr>
                <w:b/>
                <w:color w:val="FFFFFF"/>
                <w:sz w:val="18"/>
              </w:rPr>
              <w:t>Criterion</w:t>
            </w:r>
          </w:p>
        </w:tc>
        <w:tc>
          <w:tcPr>
            <w:tcW w:type="dxa" w:w="2880"/>
            <w:shd w:val="clear" w:color="auto" w:fill="1F2D55"/>
          </w:tcPr>
          <w:p>
            <w:r>
              <w:rPr>
                <w:b/>
                <w:color w:val="FFFFFF"/>
                <w:sz w:val="18"/>
              </w:rPr>
              <w:t>Weight</w:t>
            </w:r>
          </w:p>
        </w:tc>
        <w:tc>
          <w:tcPr>
            <w:tcW w:type="dxa" w:w="2880"/>
            <w:shd w:val="clear" w:color="auto" w:fill="1F2D55"/>
          </w:tcPr>
          <w:p>
            <w:r>
              <w:rPr>
                <w:b/>
                <w:color w:val="FFFFFF"/>
                <w:sz w:val="18"/>
              </w:rPr>
              <w:t>Sub-criteria</w:t>
            </w:r>
          </w:p>
        </w:tc>
      </w:tr>
      <w:tr>
        <w:tc>
          <w:tcPr>
            <w:tcW w:type="dxa" w:w="2880"/>
          </w:tcPr>
          <w:p>
            <w:r>
              <w:rPr>
                <w:sz w:val="18"/>
              </w:rPr>
              <w:t>Capability &amp; track record</w:t>
            </w:r>
          </w:p>
        </w:tc>
        <w:tc>
          <w:tcPr>
            <w:tcW w:type="dxa" w:w="2880"/>
          </w:tcPr>
          <w:p>
            <w:r>
              <w:rPr>
                <w:sz w:val="18"/>
              </w:rPr>
              <w:t>25%</w:t>
            </w:r>
          </w:p>
        </w:tc>
        <w:tc>
          <w:tcPr>
            <w:tcW w:type="dxa" w:w="2880"/>
          </w:tcPr>
          <w:p>
            <w:r>
              <w:rPr>
                <w:sz w:val="18"/>
              </w:rPr>
              <w:t>Relevant experience; references; financial stability</w:t>
            </w:r>
          </w:p>
        </w:tc>
      </w:tr>
      <w:tr>
        <w:tc>
          <w:tcPr>
            <w:tcW w:type="dxa" w:w="2880"/>
          </w:tcPr>
          <w:p>
            <w:r>
              <w:rPr>
                <w:sz w:val="18"/>
              </w:rPr>
              <w:t>Technical solution</w:t>
            </w:r>
          </w:p>
        </w:tc>
        <w:tc>
          <w:tcPr>
            <w:tcW w:type="dxa" w:w="2880"/>
          </w:tcPr>
          <w:p>
            <w:r>
              <w:rPr>
                <w:sz w:val="18"/>
              </w:rPr>
              <w:t>25%</w:t>
            </w:r>
          </w:p>
        </w:tc>
        <w:tc>
          <w:tcPr>
            <w:tcW w:type="dxa" w:w="2880"/>
          </w:tcPr>
          <w:p>
            <w:r>
              <w:rPr>
                <w:sz w:val="18"/>
              </w:rPr>
              <w:t>Scope coverage; methodology; innovation; security</w:t>
            </w:r>
          </w:p>
        </w:tc>
      </w:tr>
      <w:tr>
        <w:tc>
          <w:tcPr>
            <w:tcW w:type="dxa" w:w="2880"/>
          </w:tcPr>
          <w:p>
            <w:r>
              <w:rPr>
                <w:sz w:val="18"/>
              </w:rPr>
              <w:t>Commercial proposition</w:t>
            </w:r>
          </w:p>
        </w:tc>
        <w:tc>
          <w:tcPr>
            <w:tcW w:type="dxa" w:w="2880"/>
          </w:tcPr>
          <w:p>
            <w:r>
              <w:rPr>
                <w:sz w:val="18"/>
              </w:rPr>
              <w:t>25%</w:t>
            </w:r>
          </w:p>
        </w:tc>
        <w:tc>
          <w:tcPr>
            <w:tcW w:type="dxa" w:w="2880"/>
          </w:tcPr>
          <w:p>
            <w:r>
              <w:rPr>
                <w:sz w:val="18"/>
              </w:rPr>
              <w:t>Total cost; pricing transparency; commercial flexibility</w:t>
            </w:r>
          </w:p>
        </w:tc>
      </w:tr>
      <w:tr>
        <w:tc>
          <w:tcPr>
            <w:tcW w:type="dxa" w:w="2880"/>
          </w:tcPr>
          <w:p>
            <w:r>
              <w:rPr>
                <w:sz w:val="18"/>
              </w:rPr>
              <w:t>Implementation &amp; transition</w:t>
            </w:r>
          </w:p>
        </w:tc>
        <w:tc>
          <w:tcPr>
            <w:tcW w:type="dxa" w:w="2880"/>
          </w:tcPr>
          <w:p>
            <w:r>
              <w:rPr>
                <w:sz w:val="18"/>
              </w:rPr>
              <w:t>10%</w:t>
            </w:r>
          </w:p>
        </w:tc>
        <w:tc>
          <w:tcPr>
            <w:tcW w:type="dxa" w:w="2880"/>
          </w:tcPr>
          <w:p>
            <w:r>
              <w:rPr>
                <w:sz w:val="18"/>
              </w:rPr>
              <w:t>Plan robustness; risk mitigation; resourcing</w:t>
            </w:r>
          </w:p>
        </w:tc>
      </w:tr>
      <w:tr>
        <w:tc>
          <w:tcPr>
            <w:tcW w:type="dxa" w:w="2880"/>
          </w:tcPr>
          <w:p>
            <w:r>
              <w:rPr>
                <w:sz w:val="18"/>
              </w:rPr>
              <w:t>ESG &amp; compliance</w:t>
            </w:r>
          </w:p>
        </w:tc>
        <w:tc>
          <w:tcPr>
            <w:tcW w:type="dxa" w:w="2880"/>
          </w:tcPr>
          <w:p>
            <w:r>
              <w:rPr>
                <w:sz w:val="18"/>
              </w:rPr>
              <w:t>10%</w:t>
            </w:r>
          </w:p>
        </w:tc>
        <w:tc>
          <w:tcPr>
            <w:tcW w:type="dxa" w:w="2880"/>
          </w:tcPr>
          <w:p>
            <w:r>
              <w:rPr>
                <w:sz w:val="18"/>
              </w:rPr>
              <w:t>Sustainability credentials; compliance posture; UBO clarity</w:t>
            </w:r>
          </w:p>
        </w:tc>
      </w:tr>
      <w:tr>
        <w:tc>
          <w:tcPr>
            <w:tcW w:type="dxa" w:w="2880"/>
          </w:tcPr>
          <w:p>
            <w:r>
              <w:rPr>
                <w:sz w:val="18"/>
              </w:rPr>
              <w:t>Cultural fit &amp; partnership</w:t>
            </w:r>
          </w:p>
        </w:tc>
        <w:tc>
          <w:tcPr>
            <w:tcW w:type="dxa" w:w="2880"/>
          </w:tcPr>
          <w:p>
            <w:r>
              <w:rPr>
                <w:sz w:val="18"/>
              </w:rPr>
              <w:t>5%</w:t>
            </w:r>
          </w:p>
        </w:tc>
        <w:tc>
          <w:tcPr>
            <w:tcW w:type="dxa" w:w="2880"/>
          </w:tcPr>
          <w:p>
            <w:r>
              <w:rPr>
                <w:sz w:val="18"/>
              </w:rPr>
              <w:t>Stakeholder fit; willingness to invest in the relationship</w:t>
            </w:r>
          </w:p>
        </w:tc>
      </w:tr>
    </w:tbl>
    <w:p>
      <w:pPr>
        <w:spacing w:before="240" w:after="80"/>
      </w:pPr>
      <w:r>
        <w:rPr>
          <w:b/>
          <w:color w:val="1F2D55"/>
          <w:sz w:val="26"/>
        </w:rPr>
        <w:t>4. Mandatory requirements</w:t>
      </w:r>
    </w:p>
    <w:p>
      <w:pPr>
        <w:pStyle w:val="ListBullet"/>
        <w:spacing w:after="40"/>
      </w:pPr>
      <w:r>
        <w:rPr>
          <w:sz w:val="20"/>
        </w:rPr>
        <w:t>Audited financial statements for the past 3 years.</w:t>
      </w:r>
    </w:p>
    <w:p>
      <w:pPr>
        <w:pStyle w:val="ListBullet"/>
        <w:spacing w:after="40"/>
      </w:pPr>
      <w:r>
        <w:rPr>
          <w:sz w:val="20"/>
        </w:rPr>
        <w:t>Evidence of professional indemnity, public liability and cyber insurance (per Annex C minimums).</w:t>
      </w:r>
    </w:p>
    <w:p>
      <w:pPr>
        <w:pStyle w:val="ListBullet"/>
        <w:spacing w:after="40"/>
      </w:pPr>
      <w:r>
        <w:rPr>
          <w:sz w:val="20"/>
        </w:rPr>
        <w:t>Compliance with the Buyer Anti-Bribery &amp; Corruption policy (Annex D).</w:t>
      </w:r>
    </w:p>
    <w:p>
      <w:pPr>
        <w:pStyle w:val="ListBullet"/>
        <w:spacing w:after="40"/>
      </w:pPr>
      <w:r>
        <w:rPr>
          <w:sz w:val="20"/>
        </w:rPr>
        <w:t>Compliance with applicable data-protection laws (PDPA / UU PDP / GDPR as applicable).</w:t>
      </w:r>
    </w:p>
    <w:p>
      <w:pPr>
        <w:pStyle w:val="ListBullet"/>
        <w:spacing w:after="40"/>
      </w:pPr>
      <w:r>
        <w:rPr>
          <w:sz w:val="20"/>
        </w:rPr>
        <w:t>No undeclared conflicts of interest; UBO disclosure complete and current.</w:t>
      </w:r>
    </w:p>
    <w:p>
      <w:pPr>
        <w:pStyle w:val="ListBullet"/>
        <w:spacing w:after="40"/>
      </w:pPr>
      <w:r>
        <w:rPr>
          <w:sz w:val="20"/>
        </w:rPr>
        <w:t>Acceptance (or proposed redlines) of the Buyer's draft Master Services Agreement (Annex E).</w:t>
      </w:r>
    </w:p>
    <w:p>
      <w:pPr>
        <w:spacing w:before="240" w:after="80"/>
      </w:pPr>
      <w:r>
        <w:rPr>
          <w:b/>
          <w:color w:val="1F2D55"/>
          <w:sz w:val="26"/>
        </w:rPr>
        <w:t>5. Pricing schedule</w:t>
      </w:r>
    </w:p>
    <w:p>
      <w:pPr>
        <w:spacing w:after="80"/>
      </w:pPr>
      <w:r>
        <w:rPr>
          <w:i w:val="0"/>
          <w:sz w:val="20"/>
        </w:rPr>
        <w:t>Bidders shall complete the pricing schedule in Annex F using the prescribed template. The total cost of ownership over 36 months shall be quoted in MYR and broken down by (a) fixed monthly service fee, (b) volume-based fee per transaction tier, (c) one-off implementation fee, (d) optional services. Where bidders propose alternative commercial models (gain-share, pay-per-use, etc.), these must be in addition to the mandatory schedule and clearly labelled.</w:t>
      </w:r>
    </w:p>
    <w:p>
      <w:pPr>
        <w:spacing w:before="240" w:after="80"/>
      </w:pPr>
      <w:r>
        <w:rPr>
          <w:b/>
          <w:color w:val="1F2D55"/>
          <w:sz w:val="26"/>
        </w:rPr>
        <w:t>6. Process and timeline</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1F2D55"/>
          </w:tcPr>
          <w:p>
            <w:r>
              <w:rPr>
                <w:b/>
                <w:color w:val="FFFFFF"/>
                <w:sz w:val="18"/>
              </w:rPr>
              <w:t>Stage</w:t>
            </w:r>
          </w:p>
        </w:tc>
        <w:tc>
          <w:tcPr>
            <w:tcW w:type="dxa" w:w="2880"/>
            <w:shd w:val="clear" w:color="auto" w:fill="1F2D55"/>
          </w:tcPr>
          <w:p>
            <w:r>
              <w:rPr>
                <w:b/>
                <w:color w:val="FFFFFF"/>
                <w:sz w:val="18"/>
              </w:rPr>
              <w:t>Date</w:t>
            </w:r>
          </w:p>
        </w:tc>
        <w:tc>
          <w:tcPr>
            <w:tcW w:type="dxa" w:w="2880"/>
            <w:shd w:val="clear" w:color="auto" w:fill="1F2D55"/>
          </w:tcPr>
          <w:p>
            <w:r>
              <w:rPr>
                <w:b/>
                <w:color w:val="FFFFFF"/>
                <w:sz w:val="18"/>
              </w:rPr>
              <w:t>Notes</w:t>
            </w:r>
          </w:p>
        </w:tc>
      </w:tr>
      <w:tr>
        <w:tc>
          <w:tcPr>
            <w:tcW w:type="dxa" w:w="2880"/>
          </w:tcPr>
          <w:p>
            <w:r>
              <w:rPr>
                <w:sz w:val="18"/>
              </w:rPr>
              <w:t>RFP issue</w:t>
            </w:r>
          </w:p>
        </w:tc>
        <w:tc>
          <w:tcPr>
            <w:tcW w:type="dxa" w:w="2880"/>
          </w:tcPr>
          <w:p>
            <w:r>
              <w:rPr>
                <w:sz w:val="18"/>
              </w:rPr>
              <w:t>18 April 2026</w:t>
            </w:r>
          </w:p>
        </w:tc>
        <w:tc>
          <w:tcPr>
            <w:tcW w:type="dxa" w:w="2880"/>
          </w:tcPr>
          <w:p>
            <w:r>
              <w:rPr>
                <w:sz w:val="18"/>
              </w:rPr>
              <w:t>Bidders to confirm intent to respond within 5 days</w:t>
            </w:r>
          </w:p>
        </w:tc>
      </w:tr>
      <w:tr>
        <w:tc>
          <w:tcPr>
            <w:tcW w:type="dxa" w:w="2880"/>
          </w:tcPr>
          <w:p>
            <w:r>
              <w:rPr>
                <w:sz w:val="18"/>
              </w:rPr>
              <w:t>Q&amp;A clarification window opens</w:t>
            </w:r>
          </w:p>
        </w:tc>
        <w:tc>
          <w:tcPr>
            <w:tcW w:type="dxa" w:w="2880"/>
          </w:tcPr>
          <w:p>
            <w:r>
              <w:rPr>
                <w:sz w:val="18"/>
              </w:rPr>
              <w:t>28 April 2026</w:t>
            </w:r>
          </w:p>
        </w:tc>
        <w:tc>
          <w:tcPr>
            <w:tcW w:type="dxa" w:w="2880"/>
          </w:tcPr>
          <w:p>
            <w:r>
              <w:rPr>
                <w:sz w:val="18"/>
              </w:rPr>
              <w:t>All questions via the portal; consolidated answers published</w:t>
            </w:r>
          </w:p>
        </w:tc>
      </w:tr>
      <w:tr>
        <w:tc>
          <w:tcPr>
            <w:tcW w:type="dxa" w:w="2880"/>
          </w:tcPr>
          <w:p>
            <w:r>
              <w:rPr>
                <w:sz w:val="18"/>
              </w:rPr>
              <w:t>Site visits (optional)</w:t>
            </w:r>
          </w:p>
        </w:tc>
        <w:tc>
          <w:tcPr>
            <w:tcW w:type="dxa" w:w="2880"/>
          </w:tcPr>
          <w:p>
            <w:r>
              <w:rPr>
                <w:sz w:val="18"/>
              </w:rPr>
              <w:t>04 May 2026</w:t>
            </w:r>
          </w:p>
        </w:tc>
        <w:tc>
          <w:tcPr>
            <w:tcW w:type="dxa" w:w="2880"/>
          </w:tcPr>
          <w:p>
            <w:r>
              <w:rPr>
                <w:sz w:val="18"/>
              </w:rPr>
              <w:t>Slots on request via SPOC</w:t>
            </w:r>
          </w:p>
        </w:tc>
      </w:tr>
      <w:tr>
        <w:tc>
          <w:tcPr>
            <w:tcW w:type="dxa" w:w="2880"/>
          </w:tcPr>
          <w:p>
            <w:r>
              <w:rPr>
                <w:sz w:val="18"/>
              </w:rPr>
              <w:t>Bid submission deadline</w:t>
            </w:r>
          </w:p>
        </w:tc>
        <w:tc>
          <w:tcPr>
            <w:tcW w:type="dxa" w:w="2880"/>
          </w:tcPr>
          <w:p>
            <w:r>
              <w:rPr>
                <w:sz w:val="18"/>
              </w:rPr>
              <w:t>19 May 2026</w:t>
            </w:r>
          </w:p>
        </w:tc>
        <w:tc>
          <w:tcPr>
            <w:tcW w:type="dxa" w:w="2880"/>
          </w:tcPr>
          <w:p>
            <w:r>
              <w:rPr>
                <w:sz w:val="18"/>
              </w:rPr>
              <w:t>17:00 KL time; portal upload only</w:t>
            </w:r>
          </w:p>
        </w:tc>
      </w:tr>
      <w:tr>
        <w:tc>
          <w:tcPr>
            <w:tcW w:type="dxa" w:w="2880"/>
          </w:tcPr>
          <w:p>
            <w:r>
              <w:rPr>
                <w:sz w:val="18"/>
              </w:rPr>
              <w:t>Shortlist announcement</w:t>
            </w:r>
          </w:p>
        </w:tc>
        <w:tc>
          <w:tcPr>
            <w:tcW w:type="dxa" w:w="2880"/>
          </w:tcPr>
          <w:p>
            <w:r>
              <w:rPr>
                <w:sz w:val="18"/>
              </w:rPr>
              <w:t>26 May 2026</w:t>
            </w:r>
          </w:p>
        </w:tc>
        <w:tc>
          <w:tcPr>
            <w:tcW w:type="dxa" w:w="2880"/>
          </w:tcPr>
          <w:p>
            <w:r>
              <w:rPr>
                <w:sz w:val="18"/>
              </w:rPr>
              <w:t>Top 3-4 bidders progress</w:t>
            </w:r>
          </w:p>
        </w:tc>
      </w:tr>
      <w:tr>
        <w:tc>
          <w:tcPr>
            <w:tcW w:type="dxa" w:w="2880"/>
          </w:tcPr>
          <w:p>
            <w:r>
              <w:rPr>
                <w:sz w:val="18"/>
              </w:rPr>
              <w:t>Capability demonstrations</w:t>
            </w:r>
          </w:p>
        </w:tc>
        <w:tc>
          <w:tcPr>
            <w:tcW w:type="dxa" w:w="2880"/>
          </w:tcPr>
          <w:p>
            <w:r>
              <w:rPr>
                <w:sz w:val="18"/>
              </w:rPr>
              <w:t>02 June 2026</w:t>
            </w:r>
          </w:p>
        </w:tc>
        <w:tc>
          <w:tcPr>
            <w:tcW w:type="dxa" w:w="2880"/>
          </w:tcPr>
          <w:p>
            <w:r>
              <w:rPr>
                <w:sz w:val="18"/>
              </w:rPr>
              <w:t>Half-day per bidder; technical + commercial Q&amp;A</w:t>
            </w:r>
          </w:p>
        </w:tc>
      </w:tr>
      <w:tr>
        <w:tc>
          <w:tcPr>
            <w:tcW w:type="dxa" w:w="2880"/>
          </w:tcPr>
          <w:p>
            <w:r>
              <w:rPr>
                <w:sz w:val="18"/>
              </w:rPr>
              <w:t>Best-and-final offers</w:t>
            </w:r>
          </w:p>
        </w:tc>
        <w:tc>
          <w:tcPr>
            <w:tcW w:type="dxa" w:w="2880"/>
          </w:tcPr>
          <w:p>
            <w:r>
              <w:rPr>
                <w:sz w:val="18"/>
              </w:rPr>
              <w:t>09 June 2026</w:t>
            </w:r>
          </w:p>
        </w:tc>
        <w:tc>
          <w:tcPr>
            <w:tcW w:type="dxa" w:w="2880"/>
          </w:tcPr>
          <w:p>
            <w:r>
              <w:rPr>
                <w:sz w:val="18"/>
              </w:rPr>
              <w:t>Targeted clarification round</w:t>
            </w:r>
          </w:p>
        </w:tc>
      </w:tr>
      <w:tr>
        <w:tc>
          <w:tcPr>
            <w:tcW w:type="dxa" w:w="2880"/>
          </w:tcPr>
          <w:p>
            <w:r>
              <w:rPr>
                <w:sz w:val="18"/>
              </w:rPr>
              <w:t>Award decision</w:t>
            </w:r>
          </w:p>
        </w:tc>
        <w:tc>
          <w:tcPr>
            <w:tcW w:type="dxa" w:w="2880"/>
          </w:tcPr>
          <w:p>
            <w:r>
              <w:rPr>
                <w:sz w:val="18"/>
              </w:rPr>
              <w:t>16 June 2026</w:t>
            </w:r>
          </w:p>
        </w:tc>
        <w:tc>
          <w:tcPr>
            <w:tcW w:type="dxa" w:w="2880"/>
          </w:tcPr>
          <w:p>
            <w:r>
              <w:rPr>
                <w:sz w:val="18"/>
              </w:rPr>
              <w:t>Subject to Board approval if above threshold</w:t>
            </w:r>
          </w:p>
        </w:tc>
      </w:tr>
      <w:tr>
        <w:tc>
          <w:tcPr>
            <w:tcW w:type="dxa" w:w="2880"/>
          </w:tcPr>
          <w:p>
            <w:r>
              <w:rPr>
                <w:sz w:val="18"/>
              </w:rPr>
              <w:t>Contract execution</w:t>
            </w:r>
          </w:p>
        </w:tc>
        <w:tc>
          <w:tcPr>
            <w:tcW w:type="dxa" w:w="2880"/>
          </w:tcPr>
          <w:p>
            <w:r>
              <w:rPr>
                <w:sz w:val="18"/>
              </w:rPr>
              <w:t>23 June 2026</w:t>
            </w:r>
          </w:p>
        </w:tc>
        <w:tc>
          <w:tcPr>
            <w:tcW w:type="dxa" w:w="2880"/>
          </w:tcPr>
          <w:p>
            <w:r>
              <w:rPr>
                <w:sz w:val="18"/>
              </w:rPr>
              <w:t>Signed within 14 days of award decision</w:t>
            </w:r>
          </w:p>
        </w:tc>
      </w:tr>
      <w:tr>
        <w:tc>
          <w:tcPr>
            <w:tcW w:type="dxa" w:w="2880"/>
          </w:tcPr>
          <w:p>
            <w:r>
              <w:rPr>
                <w:sz w:val="18"/>
              </w:rPr>
              <w:t>Mobilisation</w:t>
            </w:r>
          </w:p>
        </w:tc>
        <w:tc>
          <w:tcPr>
            <w:tcW w:type="dxa" w:w="2880"/>
          </w:tcPr>
          <w:p>
            <w:r>
              <w:rPr>
                <w:sz w:val="18"/>
              </w:rPr>
              <w:t>30 June 2026</w:t>
            </w:r>
          </w:p>
        </w:tc>
        <w:tc>
          <w:tcPr>
            <w:tcW w:type="dxa" w:w="2880"/>
          </w:tcPr>
          <w:p>
            <w:r>
              <w:rPr>
                <w:sz w:val="18"/>
              </w:rPr>
              <w:t>Transition under joint plan</w:t>
            </w:r>
          </w:p>
        </w:tc>
      </w:tr>
    </w:tbl>
    <w:p>
      <w:pPr>
        <w:spacing w:before="240" w:after="80"/>
      </w:pPr>
      <w:r>
        <w:rPr>
          <w:b/>
          <w:color w:val="1F2D55"/>
          <w:sz w:val="26"/>
        </w:rPr>
        <w:t>7. Bid submission format</w:t>
      </w:r>
    </w:p>
    <w:p>
      <w:pPr>
        <w:spacing w:after="80"/>
      </w:pPr>
      <w:r>
        <w:rPr>
          <w:i w:val="0"/>
          <w:sz w:val="20"/>
        </w:rPr>
        <w:t>Submissions must be uploaded via the Buyer's procurement portal in PDF format. File-naming convention: BidderName_RFPRef_Section.pdf. Maximum 80 pages (excluding appendices). Annex completeness checklist provided in Annex G.</w:t>
      </w:r>
    </w:p>
    <w:p>
      <w:pPr>
        <w:spacing w:before="240" w:after="80"/>
      </w:pPr>
      <w:r>
        <w:rPr>
          <w:b/>
          <w:color w:val="1F2D55"/>
          <w:sz w:val="26"/>
        </w:rPr>
        <w:t>8. Confidentiality and IP</w:t>
      </w:r>
    </w:p>
    <w:p>
      <w:pPr>
        <w:spacing w:after="80"/>
      </w:pPr>
      <w:r>
        <w:rPr>
          <w:i w:val="0"/>
          <w:sz w:val="20"/>
        </w:rPr>
        <w:t>All information disclosed in or in connection with this RFP is confidential. Bidders shall not disclose to third parties without the Buyer's prior written consent. IP in bidder submissions remains with the bidder, except that the Buyer may retain submissions for record-keeping and evaluation. The Buyer reserves the right to amend, withdraw or re-issue this RFP without liability.</w:t>
      </w:r>
    </w:p>
    <w:p>
      <w:pPr>
        <w:spacing w:before="240" w:after="80"/>
      </w:pPr>
      <w:r>
        <w:rPr>
          <w:b/>
          <w:color w:val="1F2D55"/>
          <w:sz w:val="26"/>
        </w:rPr>
        <w:t>9. Contact</w:t>
      </w:r>
    </w:p>
    <w:p>
      <w:pPr>
        <w:spacing w:after="80"/>
      </w:pPr>
      <w:r>
        <w:rPr>
          <w:i w:val="0"/>
          <w:sz w:val="20"/>
        </w:rPr>
        <w:t>Single point of contact: Sasha Ouellet, Group Procurement Director. All communications must route via the portal Q&amp;A function — direct contact with other Buyer personnel during the RFP process is prohibited and grounds for disqualification.</w:t>
      </w:r>
    </w:p>
    <w:p>
      <w:pPr>
        <w:spacing w:before="240" w:after="80"/>
      </w:pPr>
      <w:r>
        <w:rPr>
          <w:b/>
          <w:color w:val="1F2D55"/>
          <w:sz w:val="26"/>
        </w:rPr>
        <w:t>Annexes</w:t>
      </w:r>
    </w:p>
    <w:p>
      <w:pPr>
        <w:pStyle w:val="ListBullet"/>
        <w:spacing w:after="40"/>
      </w:pPr>
      <w:r>
        <w:rPr>
          <w:sz w:val="20"/>
        </w:rPr>
        <w:t>Annex A — Technical Specification (separate document)</w:t>
      </w:r>
    </w:p>
    <w:p>
      <w:pPr>
        <w:pStyle w:val="ListBullet"/>
        <w:spacing w:after="40"/>
      </w:pPr>
      <w:r>
        <w:rPr>
          <w:sz w:val="20"/>
        </w:rPr>
        <w:t>Annex B — Operating-unit scope detail</w:t>
      </w:r>
    </w:p>
    <w:p>
      <w:pPr>
        <w:pStyle w:val="ListBullet"/>
        <w:spacing w:after="40"/>
      </w:pPr>
      <w:r>
        <w:rPr>
          <w:sz w:val="20"/>
        </w:rPr>
        <w:t>Annex C — Insurance minimums</w:t>
      </w:r>
    </w:p>
    <w:p>
      <w:pPr>
        <w:pStyle w:val="ListBullet"/>
        <w:spacing w:after="40"/>
      </w:pPr>
      <w:r>
        <w:rPr>
          <w:sz w:val="20"/>
        </w:rPr>
        <w:t>Annex D — Anti-Bribery &amp; Corruption policy</w:t>
      </w:r>
    </w:p>
    <w:p>
      <w:pPr>
        <w:pStyle w:val="ListBullet"/>
        <w:spacing w:after="40"/>
      </w:pPr>
      <w:r>
        <w:rPr>
          <w:sz w:val="20"/>
        </w:rPr>
        <w:t>Annex E — Draft Master Services Agreement</w:t>
      </w:r>
    </w:p>
    <w:p>
      <w:pPr>
        <w:pStyle w:val="ListBullet"/>
        <w:spacing w:after="40"/>
      </w:pPr>
      <w:r>
        <w:rPr>
          <w:sz w:val="20"/>
        </w:rPr>
        <w:t>Annex F — Pricing schedule template</w:t>
      </w:r>
    </w:p>
    <w:p>
      <w:pPr>
        <w:pStyle w:val="ListBullet"/>
        <w:spacing w:after="40"/>
      </w:pPr>
      <w:r>
        <w:rPr>
          <w:sz w:val="20"/>
        </w:rPr>
        <w:t>Annex G — Annex completeness checklist</w:t>
      </w:r>
    </w:p>
    <w:p>
      <w:pPr>
        <w:jc w:val="center"/>
      </w:pPr>
      <w:r>
        <w:rPr>
          <w:i/>
          <w:color w:val="9CA3AF"/>
          <w:sz w:val="16"/>
        </w:rPr>
        <w:t>— END OF DOCUMENT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