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Minutes New Software Implementation</w:t>
      </w:r>
    </w:p>
    <w:p>
      <w:pPr>
        <w:spacing w:after="200"/>
      </w:pPr>
      <w:r>
        <w:rPr>
          <w:i/>
          <w:color w:val="4B5B7C"/>
          <w:sz w:val="22"/>
        </w:rPr>
        <w:t>Group Management Committee · Minutes of meeting</w:t>
      </w:r>
    </w:p>
    <w:p>
      <w:pPr>
        <w:spacing w:after="40"/>
      </w:pPr>
      <w:r>
        <w:rPr>
          <w:b/>
          <w:color w:val="1F2D55"/>
          <w:sz w:val="20"/>
        </w:rPr>
        <w:t xml:space="preserve">Meeting date:  </w:t>
      </w:r>
      <w:r>
        <w:rPr>
          <w:sz w:val="20"/>
        </w:rPr>
        <w:t>06 May 2026</w:t>
      </w:r>
    </w:p>
    <w:p>
      <w:pPr>
        <w:spacing w:after="40"/>
      </w:pPr>
      <w:r>
        <w:rPr>
          <w:b/>
          <w:color w:val="1F2D55"/>
          <w:sz w:val="20"/>
        </w:rPr>
        <w:t xml:space="preserve">Location:  </w:t>
      </w:r>
      <w:r>
        <w:rPr>
          <w:sz w:val="20"/>
        </w:rPr>
        <w:t>Zava Tower, Level 38, Boardroom A (with VC participation)</w:t>
      </w:r>
    </w:p>
    <w:p>
      <w:pPr>
        <w:spacing w:after="40"/>
      </w:pPr>
      <w:r>
        <w:rPr>
          <w:b/>
          <w:color w:val="1F2D55"/>
          <w:sz w:val="20"/>
        </w:rPr>
        <w:t xml:space="preserve">Chair:  </w:t>
      </w:r>
      <w:r>
        <w:rPr>
          <w:sz w:val="20"/>
        </w:rPr>
        <w:t>Datuk Tan Cheng Lock, Board Chair</w:t>
      </w:r>
    </w:p>
    <w:p>
      <w:pPr>
        <w:spacing w:after="40"/>
      </w:pPr>
      <w:r>
        <w:rPr>
          <w:b/>
          <w:color w:val="1F2D55"/>
          <w:sz w:val="20"/>
        </w:rPr>
        <w:t xml:space="preserve">Quorum:  </w:t>
      </w:r>
      <w:r>
        <w:rPr>
          <w:sz w:val="20"/>
        </w:rPr>
        <w:t>Met (8 of 9 members present; 1 by video)</w:t>
      </w:r>
    </w:p>
    <w:p>
      <w:pPr>
        <w:spacing w:after="40"/>
      </w:pPr>
      <w:r>
        <w:rPr>
          <w:b/>
          <w:color w:val="1F2D55"/>
          <w:sz w:val="20"/>
        </w:rPr>
        <w:t xml:space="preserve">Secretary:  </w:t>
      </w:r>
      <w:r>
        <w:rPr>
          <w:sz w:val="20"/>
        </w:rPr>
        <w:t>Sasha Ouellet, Group Chief of Staff</w:t>
      </w:r>
    </w:p>
    <w:p>
      <w:pPr>
        <w:spacing w:after="40"/>
      </w:pPr>
      <w:r>
        <w:rPr>
          <w:b/>
          <w:color w:val="1F2D55"/>
          <w:sz w:val="20"/>
        </w:rPr>
        <w:t xml:space="preserve">Source file:  </w:t>
      </w:r>
      <w:r>
        <w:rPr>
          <w:sz w:val="20"/>
        </w:rPr>
        <w:t>Minutes_New_Software_Implementation.docx</w:t>
      </w:r>
    </w:p>
    <w:p>
      <w:pPr>
        <w:spacing w:after="40"/>
      </w:pPr>
      <w:r>
        <w:rPr>
          <w:b/>
          <w:color w:val="1F2D55"/>
          <w:sz w:val="20"/>
        </w:rPr>
        <w:t xml:space="preserve">Classification:  </w:t>
      </w:r>
      <w:r>
        <w:rPr>
          <w:sz w:val="20"/>
        </w:rPr>
        <w:t>Confidential — Board distribution only</w:t>
      </w:r>
    </w:p>
    <w:p>
      <w:pPr>
        <w:spacing w:before="240" w:after="80"/>
      </w:pPr>
      <w:r>
        <w:rPr>
          <w:b/>
          <w:color w:val="1F2D55"/>
          <w:sz w:val="26"/>
        </w:rPr>
        <w:t>1. Attendance</w:t>
      </w:r>
    </w:p>
    <w:p>
      <w:pPr>
        <w:spacing w:before="160" w:after="40"/>
      </w:pPr>
      <w:r>
        <w:rPr>
          <w:b/>
          <w:color w:val="4B5B7C"/>
          <w:sz w:val="22"/>
        </w:rPr>
        <w:t>Members present</w:t>
      </w:r>
    </w:p>
    <w:p>
      <w:pPr>
        <w:pStyle w:val="ListBullet"/>
        <w:spacing w:after="40"/>
      </w:pPr>
      <w:r>
        <w:rPr>
          <w:sz w:val="20"/>
        </w:rPr>
        <w:t>Datuk Tan Cheng Lock — Independent Non-Executive Chair</w:t>
      </w:r>
    </w:p>
    <w:p>
      <w:pPr>
        <w:pStyle w:val="ListBullet"/>
        <w:spacing w:after="40"/>
      </w:pPr>
      <w:r>
        <w:rPr>
          <w:sz w:val="20"/>
        </w:rPr>
        <w:t>Hadar Caspit — Group Chief Financial Officer</w:t>
      </w:r>
    </w:p>
    <w:p>
      <w:pPr>
        <w:pStyle w:val="ListBullet"/>
        <w:spacing w:after="40"/>
      </w:pPr>
      <w:r>
        <w:rPr>
          <w:sz w:val="20"/>
        </w:rPr>
        <w:t>Mod Admin — Group Strategy Director</w:t>
      </w:r>
    </w:p>
    <w:p>
      <w:pPr>
        <w:pStyle w:val="ListBullet"/>
        <w:spacing w:after="40"/>
      </w:pPr>
      <w:r>
        <w:rPr>
          <w:sz w:val="20"/>
        </w:rPr>
        <w:t>Daichi Maruyama — Head of Investor Relations</w:t>
      </w:r>
    </w:p>
    <w:p>
      <w:pPr>
        <w:pStyle w:val="ListBullet"/>
        <w:spacing w:after="40"/>
      </w:pPr>
      <w:r>
        <w:rPr>
          <w:sz w:val="20"/>
        </w:rPr>
        <w:t>Sasha Ouellet — Group Chief of Staff (and Secretary)</w:t>
      </w:r>
    </w:p>
    <w:p>
      <w:pPr>
        <w:pStyle w:val="ListBullet"/>
        <w:spacing w:after="40"/>
      </w:pPr>
      <w:r>
        <w:rPr>
          <w:sz w:val="20"/>
        </w:rPr>
        <w:t>Dr Mariana Cabral — Independent NED (Risk &amp; Audit Cmte Chair)</w:t>
      </w:r>
    </w:p>
    <w:p>
      <w:pPr>
        <w:pStyle w:val="ListBullet"/>
        <w:spacing w:after="40"/>
      </w:pPr>
      <w:r>
        <w:rPr>
          <w:sz w:val="20"/>
        </w:rPr>
        <w:t>Prof Karim El-Sayed — Independent NED (ESG Cmte Chair)</w:t>
      </w:r>
    </w:p>
    <w:p>
      <w:pPr>
        <w:pStyle w:val="ListBullet"/>
        <w:spacing w:after="40"/>
      </w:pPr>
      <w:r>
        <w:rPr>
          <w:sz w:val="20"/>
        </w:rPr>
        <w:t>Liew Soo Min — Non-Executive Director</w:t>
      </w:r>
    </w:p>
    <w:p>
      <w:pPr>
        <w:spacing w:before="160" w:after="40"/>
      </w:pPr>
      <w:r>
        <w:rPr>
          <w:b/>
          <w:color w:val="4B5B7C"/>
          <w:sz w:val="22"/>
        </w:rPr>
        <w:t>In attendance</w:t>
      </w:r>
    </w:p>
    <w:p>
      <w:pPr>
        <w:pStyle w:val="ListBullet"/>
        <w:spacing w:after="40"/>
      </w:pPr>
      <w:r>
        <w:rPr>
          <w:sz w:val="20"/>
        </w:rPr>
        <w:t>Will Stratton — Group Head of Risk (item 4 only)</w:t>
      </w:r>
    </w:p>
    <w:p>
      <w:pPr>
        <w:pStyle w:val="ListBullet"/>
        <w:spacing w:after="40"/>
      </w:pPr>
      <w:r>
        <w:rPr>
          <w:sz w:val="20"/>
        </w:rPr>
        <w:t>Omar Yusoff — Group Head of Procurement (items 6–7)</w:t>
      </w:r>
    </w:p>
    <w:p>
      <w:pPr>
        <w:pStyle w:val="ListBullet"/>
        <w:spacing w:after="40"/>
      </w:pPr>
      <w:r>
        <w:rPr>
          <w:sz w:val="20"/>
        </w:rPr>
        <w:t>PwC engagement partner — for external audit update</w:t>
      </w:r>
    </w:p>
    <w:p>
      <w:pPr>
        <w:spacing w:before="160" w:after="40"/>
      </w:pPr>
      <w:r>
        <w:rPr>
          <w:b/>
          <w:color w:val="4B5B7C"/>
          <w:sz w:val="22"/>
        </w:rPr>
        <w:t>Apologies</w:t>
      </w:r>
    </w:p>
    <w:p>
      <w:pPr>
        <w:pStyle w:val="ListBullet"/>
        <w:spacing w:after="40"/>
      </w:pPr>
      <w:r>
        <w:rPr>
          <w:sz w:val="20"/>
        </w:rPr>
        <w:t>Ahmad Shahril — Independent NED (sent written comments on agenda items 5 and 9)</w:t>
      </w:r>
    </w:p>
    <w:p>
      <w:pPr>
        <w:spacing w:before="240" w:after="80"/>
      </w:pPr>
      <w:r>
        <w:rPr>
          <w:b/>
          <w:color w:val="1F2D55"/>
          <w:sz w:val="26"/>
        </w:rPr>
        <w:t>2. Approval of prior minutes and matters arising</w:t>
      </w:r>
    </w:p>
    <w:p>
      <w:pPr>
        <w:spacing w:after="80"/>
      </w:pPr>
      <w:r>
        <w:rPr>
          <w:i w:val="0"/>
          <w:sz w:val="20"/>
        </w:rPr>
        <w:t>The minutes of the meeting dated 22 April 2026 were approved without amendment. All open actions from the prior meeting are reported in the action register at the end of these minutes; 9 of 11 actions are closed; 2 remain open within target date.</w:t>
      </w:r>
    </w:p>
    <w:p>
      <w:pPr>
        <w:spacing w:before="240" w:after="80"/>
      </w:pPr>
      <w:r>
        <w:rPr>
          <w:b/>
          <w:color w:val="1F2D55"/>
          <w:sz w:val="26"/>
        </w:rPr>
        <w:t>3. Group CFO update</w:t>
      </w:r>
    </w:p>
    <w:p>
      <w:pPr>
        <w:spacing w:after="80"/>
      </w:pPr>
      <w:r>
        <w:rPr>
          <w:i w:val="0"/>
          <w:sz w:val="20"/>
        </w:rPr>
        <w:t>The Group CFO presented the Q1 FY2026 financial performance pack. Group revenue of MYR 12.2B was 5% above prior year, driven by Property, Banking and Industrial Manufacturing divisions. EBITDA margin held at 19.9% despite cost inflation; FCF was MYR 1036m, in line with guidance. Net debt/EBITDA at 2.1× (covenant cap 3.5×). The Committee noted the performance and approved the revised FY2026 cash-flow forecast.</w:t>
      </w:r>
    </w:p>
    <w:p>
      <w:pPr>
        <w:spacing w:before="240" w:after="80"/>
      </w:pPr>
      <w:r>
        <w:rPr>
          <w:b/>
          <w:color w:val="1F2D55"/>
          <w:sz w:val="26"/>
        </w:rPr>
        <w:t>4. Risk &amp; internal audit update</w:t>
      </w:r>
    </w:p>
    <w:p>
      <w:pPr>
        <w:spacing w:after="80"/>
      </w:pPr>
      <w:r>
        <w:rPr>
          <w:i w:val="0"/>
          <w:sz w:val="20"/>
        </w:rPr>
        <w:t>The Group Head of Risk presented the principal-risks heatmap. Three risks moved: cyber-extortion (Med→High after the IT incident postmortem), supply-chain concentration (Low→Med), regulatory-pace (Med→Med, sustained elevated). The Committee endorsed the proposed mitigations: SOC2 retest, dual-source programme for top 12 vendors, and the regulatory-pace tracker funded for Q3.</w:t>
      </w:r>
    </w:p>
    <w:p>
      <w:pPr>
        <w:spacing w:after="80"/>
      </w:pPr>
      <w:r>
        <w:rPr>
          <w:i w:val="0"/>
          <w:sz w:val="20"/>
        </w:rPr>
        <w:t>Internal Audit walked through the 12 findings from the half-year cycle (2 High, 6 Medium, 4 Low). Management has committed remediation plans; the Committee asked for a focused follow-up audit in Q1 FY2027 on the three repeat findings (stage-completion %, bank-rec evidence, T&amp;E receipts).</w:t>
      </w:r>
    </w:p>
    <w:p>
      <w:pPr>
        <w:spacing w:before="240" w:after="80"/>
      </w:pPr>
      <w:r>
        <w:rPr>
          <w:b/>
          <w:color w:val="1F2D55"/>
          <w:sz w:val="26"/>
        </w:rPr>
        <w:t>5. External audit update</w:t>
      </w:r>
    </w:p>
    <w:p>
      <w:pPr>
        <w:spacing w:after="80"/>
      </w:pPr>
      <w:r>
        <w:rPr>
          <w:i w:val="0"/>
          <w:sz w:val="20"/>
        </w:rPr>
        <w:t>The PwC partner reported that the interim audit is on track; no material control weaknesses identified to date. The audit fee for FY2026 is proposed at MYR 4.8m (FY2025: 4.6m); the Committee endorsed the proposal for Board approval. Non-audit services proposed for FY2026 remain within the Group's 30%-of-audit-fee cap; pre-approval workflow is functioning.</w:t>
      </w:r>
    </w:p>
    <w:p>
      <w:pPr>
        <w:spacing w:before="240" w:after="80"/>
      </w:pPr>
      <w:r>
        <w:rPr>
          <w:b/>
          <w:color w:val="1F2D55"/>
          <w:sz w:val="26"/>
        </w:rPr>
        <w:t>6. Procurement transformation</w:t>
      </w:r>
    </w:p>
    <w:p>
      <w:pPr>
        <w:spacing w:after="80"/>
      </w:pPr>
      <w:r>
        <w:rPr>
          <w:i w:val="0"/>
          <w:sz w:val="20"/>
        </w:rPr>
        <w:t>The Group Head of Procurement presented progress on the Source-to-Pay programme. Year-to-date addressable spend covered: MYR 2.9B; savings realised MYR 117m vs target MYR 171m. The Committee asked Management to accelerate the contract-renewal pipeline and report monthly until end-FY.</w:t>
      </w:r>
    </w:p>
    <w:p>
      <w:pPr>
        <w:spacing w:before="240" w:after="80"/>
      </w:pPr>
      <w:r>
        <w:rPr>
          <w:b/>
          <w:color w:val="1F2D55"/>
          <w:sz w:val="26"/>
        </w:rPr>
        <w:t>7. ESG and disclosure update</w:t>
      </w:r>
    </w:p>
    <w:p>
      <w:pPr>
        <w:spacing w:after="80"/>
      </w:pPr>
      <w:r>
        <w:rPr>
          <w:i w:val="0"/>
          <w:sz w:val="20"/>
        </w:rPr>
        <w:t>Daichi Maruyama walked through the integrated annual report timeline. TCFD and ISSB-aligned disclosures are on track; Scope-3 emissions baseline restated with a 7% upward revision after onboarding two newly-acquired entities. The Committee discussed external assurance scope; PwC scope to include Scope-1, Scope-2 and water-withdrawal metrics for FY2026.</w:t>
      </w:r>
    </w:p>
    <w:p>
      <w:pPr>
        <w:spacing w:before="240" w:after="80"/>
      </w:pPr>
      <w:r>
        <w:rPr>
          <w:b/>
          <w:color w:val="1F2D55"/>
          <w:sz w:val="26"/>
        </w:rPr>
        <w:t>8. Investor relations update</w:t>
      </w:r>
    </w:p>
    <w:p>
      <w:pPr>
        <w:spacing w:after="80"/>
      </w:pPr>
      <w:r>
        <w:rPr>
          <w:i w:val="0"/>
          <w:sz w:val="20"/>
        </w:rPr>
        <w:t>Daichi reported on the analyst-day held in late April: 38 sell-side and buy-side attendees; feedback positive on capital-allocation discipline and the property monetisation pathway. Two analysts upgraded post-event. Concerns from investors: (i) timing of dividend reinstatement, (ii) M&amp;A pipeline visibility, (iii) regulator-pace impact on Banking division.</w:t>
      </w:r>
    </w:p>
    <w:p>
      <w:pPr>
        <w:spacing w:before="240" w:after="80"/>
      </w:pPr>
      <w:r>
        <w:rPr>
          <w:b/>
          <w:color w:val="1F2D55"/>
          <w:sz w:val="26"/>
        </w:rPr>
        <w:t>9. Any other business</w:t>
      </w:r>
    </w:p>
    <w:p>
      <w:pPr>
        <w:spacing w:after="80"/>
      </w:pPr>
      <w:r>
        <w:rPr>
          <w:i w:val="0"/>
          <w:sz w:val="20"/>
        </w:rPr>
        <w:t>The Chair informed the Committee that a board self-evaluation will be conducted in Q3 FY2026 using an independent facilitator (Spencer Stuart). Members are asked to make calendar provisions.</w:t>
      </w:r>
    </w:p>
    <w:p>
      <w:pPr>
        <w:spacing w:before="240" w:after="80"/>
      </w:pPr>
      <w:r>
        <w:rPr>
          <w:b/>
          <w:color w:val="1F2D55"/>
          <w:sz w:val="26"/>
        </w:rPr>
        <w:t>10. Action register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Ref</w:t>
            </w:r>
          </w:p>
        </w:tc>
        <w:tc>
          <w:tcPr>
            <w:tcW w:type="dxa" w:w="1728"/>
            <w:shd w:val="clear" w:color="auto" w:fill="1F2D55"/>
          </w:tcPr>
          <w:p>
            <w:r>
              <w:rPr>
                <w:b/>
                <w:color w:val="FFFFFF"/>
                <w:sz w:val="18"/>
              </w:rPr>
              <w:t>Action</w:t>
            </w:r>
          </w:p>
        </w:tc>
        <w:tc>
          <w:tcPr>
            <w:tcW w:type="dxa" w:w="1728"/>
            <w:shd w:val="clear" w:color="auto" w:fill="1F2D55"/>
          </w:tcPr>
          <w:p>
            <w:r>
              <w:rPr>
                <w:b/>
                <w:color w:val="FFFFFF"/>
                <w:sz w:val="18"/>
              </w:rPr>
              <w:t>Owner</w:t>
            </w:r>
          </w:p>
        </w:tc>
        <w:tc>
          <w:tcPr>
            <w:tcW w:type="dxa" w:w="1728"/>
            <w:shd w:val="clear" w:color="auto" w:fill="1F2D55"/>
          </w:tcPr>
          <w:p>
            <w:r>
              <w:rPr>
                <w:b/>
                <w:color w:val="FFFFFF"/>
                <w:sz w:val="18"/>
              </w:rPr>
              <w:t>Target</w:t>
            </w:r>
          </w:p>
        </w:tc>
        <w:tc>
          <w:tcPr>
            <w:tcW w:type="dxa" w:w="1728"/>
            <w:shd w:val="clear" w:color="auto" w:fill="1F2D55"/>
          </w:tcPr>
          <w:p>
            <w:r>
              <w:rPr>
                <w:b/>
                <w:color w:val="FFFFFF"/>
                <w:sz w:val="18"/>
              </w:rPr>
              <w:t>Status</w:t>
            </w:r>
          </w:p>
        </w:tc>
      </w:tr>
      <w:tr>
        <w:tc>
          <w:tcPr>
            <w:tcW w:type="dxa" w:w="1728"/>
          </w:tcPr>
          <w:p>
            <w:r>
              <w:rPr>
                <w:sz w:val="18"/>
              </w:rPr>
              <w:t>A-01</w:t>
            </w:r>
          </w:p>
        </w:tc>
        <w:tc>
          <w:tcPr>
            <w:tcW w:type="dxa" w:w="1728"/>
          </w:tcPr>
          <w:p>
            <w:r>
              <w:rPr>
                <w:sz w:val="18"/>
              </w:rPr>
              <w:t>Q1 FY2027 follow-up audit on 3 repeat findings</w:t>
            </w:r>
          </w:p>
        </w:tc>
        <w:tc>
          <w:tcPr>
            <w:tcW w:type="dxa" w:w="1728"/>
          </w:tcPr>
          <w:p>
            <w:r>
              <w:rPr>
                <w:sz w:val="18"/>
              </w:rPr>
              <w:t>Internal Audit</w:t>
            </w:r>
          </w:p>
        </w:tc>
        <w:tc>
          <w:tcPr>
            <w:tcW w:type="dxa" w:w="1728"/>
          </w:tcPr>
          <w:p>
            <w:r>
              <w:rPr>
                <w:sz w:val="18"/>
              </w:rPr>
              <w:t>Q1 FY2027</w:t>
            </w:r>
          </w:p>
        </w:tc>
        <w:tc>
          <w:tcPr>
            <w:tcW w:type="dxa" w:w="1728"/>
          </w:tcPr>
          <w:p>
            <w:r>
              <w:rPr>
                <w:sz w:val="18"/>
              </w:rPr>
              <w:t>Open</w:t>
            </w:r>
          </w:p>
        </w:tc>
      </w:tr>
      <w:tr>
        <w:tc>
          <w:tcPr>
            <w:tcW w:type="dxa" w:w="1728"/>
          </w:tcPr>
          <w:p>
            <w:r>
              <w:rPr>
                <w:sz w:val="18"/>
              </w:rPr>
              <w:t>A-02</w:t>
            </w:r>
          </w:p>
        </w:tc>
        <w:tc>
          <w:tcPr>
            <w:tcW w:type="dxa" w:w="1728"/>
          </w:tcPr>
          <w:p>
            <w:r>
              <w:rPr>
                <w:sz w:val="18"/>
              </w:rPr>
              <w:t>Accelerate vendor contract renewals; monthly progress report to Audit Cmte</w:t>
            </w:r>
          </w:p>
        </w:tc>
        <w:tc>
          <w:tcPr>
            <w:tcW w:type="dxa" w:w="1728"/>
          </w:tcPr>
          <w:p>
            <w:r>
              <w:rPr>
                <w:sz w:val="18"/>
              </w:rPr>
              <w:t>Group Procurement</w:t>
            </w:r>
          </w:p>
        </w:tc>
        <w:tc>
          <w:tcPr>
            <w:tcW w:type="dxa" w:w="1728"/>
          </w:tcPr>
          <w:p>
            <w:r>
              <w:rPr>
                <w:sz w:val="18"/>
              </w:rPr>
              <w:t>End-FY2026</w:t>
            </w:r>
          </w:p>
        </w:tc>
        <w:tc>
          <w:tcPr>
            <w:tcW w:type="dxa" w:w="1728"/>
          </w:tcPr>
          <w:p>
            <w:r>
              <w:rPr>
                <w:sz w:val="18"/>
              </w:rPr>
              <w:t>Open</w:t>
            </w:r>
          </w:p>
        </w:tc>
      </w:tr>
      <w:tr>
        <w:tc>
          <w:tcPr>
            <w:tcW w:type="dxa" w:w="1728"/>
          </w:tcPr>
          <w:p>
            <w:r>
              <w:rPr>
                <w:sz w:val="18"/>
              </w:rPr>
              <w:t>A-03</w:t>
            </w:r>
          </w:p>
        </w:tc>
        <w:tc>
          <w:tcPr>
            <w:tcW w:type="dxa" w:w="1728"/>
          </w:tcPr>
          <w:p>
            <w:r>
              <w:rPr>
                <w:sz w:val="18"/>
              </w:rPr>
              <w:t>TCFD and ISSB disclosure dry-run pack circulated to NEDs</w:t>
            </w:r>
          </w:p>
        </w:tc>
        <w:tc>
          <w:tcPr>
            <w:tcW w:type="dxa" w:w="1728"/>
          </w:tcPr>
          <w:p>
            <w:r>
              <w:rPr>
                <w:sz w:val="18"/>
              </w:rPr>
              <w:t>Head of IR</w:t>
            </w:r>
          </w:p>
        </w:tc>
        <w:tc>
          <w:tcPr>
            <w:tcW w:type="dxa" w:w="1728"/>
          </w:tcPr>
          <w:p>
            <w:r>
              <w:rPr>
                <w:sz w:val="18"/>
              </w:rPr>
              <w:t>30 Jun 2026</w:t>
            </w:r>
          </w:p>
        </w:tc>
        <w:tc>
          <w:tcPr>
            <w:tcW w:type="dxa" w:w="1728"/>
          </w:tcPr>
          <w:p>
            <w:r>
              <w:rPr>
                <w:sz w:val="18"/>
              </w:rPr>
              <w:t>Open</w:t>
            </w:r>
          </w:p>
        </w:tc>
      </w:tr>
      <w:tr>
        <w:tc>
          <w:tcPr>
            <w:tcW w:type="dxa" w:w="1728"/>
          </w:tcPr>
          <w:p>
            <w:r>
              <w:rPr>
                <w:sz w:val="18"/>
              </w:rPr>
              <w:t>A-04</w:t>
            </w:r>
          </w:p>
        </w:tc>
        <w:tc>
          <w:tcPr>
            <w:tcW w:type="dxa" w:w="1728"/>
          </w:tcPr>
          <w:p>
            <w:r>
              <w:rPr>
                <w:sz w:val="18"/>
              </w:rPr>
              <w:t>Confirm Spencer Stuart engagement for board self-evaluation</w:t>
            </w:r>
          </w:p>
        </w:tc>
        <w:tc>
          <w:tcPr>
            <w:tcW w:type="dxa" w:w="1728"/>
          </w:tcPr>
          <w:p>
            <w:r>
              <w:rPr>
                <w:sz w:val="18"/>
              </w:rPr>
              <w:t>Company Secretary</w:t>
            </w:r>
          </w:p>
        </w:tc>
        <w:tc>
          <w:tcPr>
            <w:tcW w:type="dxa" w:w="1728"/>
          </w:tcPr>
          <w:p>
            <w:r>
              <w:rPr>
                <w:sz w:val="18"/>
              </w:rPr>
              <w:t>15 Jun 2026</w:t>
            </w:r>
          </w:p>
        </w:tc>
        <w:tc>
          <w:tcPr>
            <w:tcW w:type="dxa" w:w="1728"/>
          </w:tcPr>
          <w:p>
            <w:r>
              <w:rPr>
                <w:sz w:val="18"/>
              </w:rPr>
              <w:t>Open</w:t>
            </w:r>
          </w:p>
        </w:tc>
      </w:tr>
      <w:tr>
        <w:tc>
          <w:tcPr>
            <w:tcW w:type="dxa" w:w="1728"/>
          </w:tcPr>
          <w:p>
            <w:r>
              <w:rPr>
                <w:sz w:val="18"/>
              </w:rPr>
              <w:t>A-05</w:t>
            </w:r>
          </w:p>
        </w:tc>
        <w:tc>
          <w:tcPr>
            <w:tcW w:type="dxa" w:w="1728"/>
          </w:tcPr>
          <w:p>
            <w:r>
              <w:rPr>
                <w:sz w:val="18"/>
              </w:rPr>
              <w:t>PwC non-audit services log circulated to Audit Cmte quarterly</w:t>
            </w:r>
          </w:p>
        </w:tc>
        <w:tc>
          <w:tcPr>
            <w:tcW w:type="dxa" w:w="1728"/>
          </w:tcPr>
          <w:p>
            <w:r>
              <w:rPr>
                <w:sz w:val="18"/>
              </w:rPr>
              <w:t>Group CFO</w:t>
            </w:r>
          </w:p>
        </w:tc>
        <w:tc>
          <w:tcPr>
            <w:tcW w:type="dxa" w:w="1728"/>
          </w:tcPr>
          <w:p>
            <w:r>
              <w:rPr>
                <w:sz w:val="18"/>
              </w:rPr>
              <w:t>Recurring</w:t>
            </w:r>
          </w:p>
        </w:tc>
        <w:tc>
          <w:tcPr>
            <w:tcW w:type="dxa" w:w="1728"/>
          </w:tcPr>
          <w:p>
            <w:r>
              <w:rPr>
                <w:sz w:val="18"/>
              </w:rPr>
              <w:t>Open</w:t>
            </w:r>
          </w:p>
        </w:tc>
      </w:tr>
    </w:tbl>
    <w:p>
      <w:pPr>
        <w:spacing w:before="240" w:after="80"/>
      </w:pPr>
      <w:r>
        <w:rPr>
          <w:b/>
          <w:color w:val="1F2D55"/>
          <w:sz w:val="26"/>
        </w:rPr>
        <w:t>11. Next meeting</w:t>
      </w:r>
    </w:p>
    <w:p>
      <w:pPr>
        <w:spacing w:after="80"/>
      </w:pPr>
      <w:r>
        <w:rPr>
          <w:i w:val="0"/>
          <w:sz w:val="20"/>
        </w:rPr>
        <w:t>Next scheduled meeting: 18 June 2026, 14:00 — Zava Tower Boardroom A.</w:t>
      </w:r>
    </w:p>
    <w:p>
      <w:pPr>
        <w:spacing w:after="80"/>
      </w:pPr>
      <w:r>
        <w:rPr>
          <w:i w:val="0"/>
          <w:sz w:val="20"/>
        </w:rPr>
        <w:t>Minutes prepared and signed.</w:t>
      </w:r>
    </w:p>
    <w:p>
      <w:pPr>
        <w:spacing w:after="80"/>
      </w:pPr>
      <w:r>
        <w:rPr>
          <w:i/>
          <w:sz w:val="20"/>
        </w:rPr>
        <w:t>Sasha Ouellet — Group Chief of Staff (acting Secretary)</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