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OEM PassThrough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OEM_PassThrough_Brief.docx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(OEM PassThrough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43.4</w:t>
            </w:r>
          </w:p>
        </w:tc>
        <w:tc>
          <w:tcPr>
            <w:tcW w:type="dxa" w:w="1728"/>
          </w:tcPr>
          <w:p>
            <w:r>
              <w:rPr>
                <w:sz w:val="18"/>
              </w:rPr>
              <w:t>48.7</w:t>
            </w:r>
          </w:p>
        </w:tc>
        <w:tc>
          <w:tcPr>
            <w:tcW w:type="dxa" w:w="1728"/>
          </w:tcPr>
          <w:p>
            <w:r>
              <w:rPr>
                <w:sz w:val="18"/>
              </w:rPr>
              <w:t>13.5</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8.9</w:t>
            </w:r>
          </w:p>
        </w:tc>
        <w:tc>
          <w:tcPr>
            <w:tcW w:type="dxa" w:w="1728"/>
          </w:tcPr>
          <w:p>
            <w:r>
              <w:rPr>
                <w:sz w:val="18"/>
              </w:rPr>
              <w:t>1.5</w:t>
            </w:r>
          </w:p>
        </w:tc>
        <w:tc>
          <w:tcPr>
            <w:tcW w:type="dxa" w:w="1728"/>
          </w:tcPr>
          <w:p>
            <w:r>
              <w:rPr>
                <w:sz w:val="18"/>
              </w:rPr>
              <w:t>Ahead</w:t>
            </w:r>
          </w:p>
        </w:tc>
      </w:tr>
      <w:tr>
        <w:tc>
          <w:tcPr>
            <w:tcW w:type="dxa" w:w="1728"/>
          </w:tcPr>
          <w:p>
            <w:r>
              <w:rPr>
                <w:sz w:val="18"/>
              </w:rPr>
              <w:t>EBITDA margin %</w:t>
            </w:r>
          </w:p>
        </w:tc>
        <w:tc>
          <w:tcPr>
            <w:tcW w:type="dxa" w:w="1728"/>
          </w:tcPr>
          <w:p>
            <w:r>
              <w:rPr>
                <w:sz w:val="18"/>
              </w:rPr>
              <w:t>17.8</w:t>
            </w:r>
          </w:p>
        </w:tc>
        <w:tc>
          <w:tcPr>
            <w:tcW w:type="dxa" w:w="1728"/>
          </w:tcPr>
          <w:p>
            <w:r>
              <w:rPr>
                <w:sz w:val="18"/>
              </w:rPr>
              <w:t>19.4</w:t>
            </w:r>
          </w:p>
        </w:tc>
        <w:tc>
          <w:tcPr>
            <w:tcW w:type="dxa" w:w="1728"/>
          </w:tcPr>
          <w:p>
            <w:r>
              <w:rPr>
                <w:sz w:val="18"/>
              </w:rPr>
              <w:t>22.4</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6.2</w:t>
            </w:r>
          </w:p>
        </w:tc>
        <w:tc>
          <w:tcPr>
            <w:tcW w:type="dxa" w:w="1728"/>
          </w:tcPr>
          <w:p>
            <w:r>
              <w:rPr>
                <w:sz w:val="18"/>
              </w:rPr>
              <w:t>0.9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