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OGD 07 HSE Incident Report</w:t>
      </w:r>
    </w:p>
    <w:p>
      <w:pPr>
        <w:spacing w:after="200"/>
      </w:pPr>
      <w:r>
        <w:rPr>
          <w:i/>
          <w:color w:val="4B5B7C"/>
          <w:sz w:val="22"/>
        </w:rPr>
        <w:t>Report · Internal Distribution</w:t>
      </w:r>
    </w:p>
    <w:p>
      <w:pPr>
        <w:spacing w:after="40"/>
      </w:pPr>
      <w:r>
        <w:rPr>
          <w:b/>
          <w:color w:val="1F2D55"/>
          <w:sz w:val="20"/>
        </w:rPr>
        <w:t xml:space="preserve">Report reference:  </w:t>
      </w:r>
      <w:r>
        <w:rPr>
          <w:sz w:val="20"/>
        </w:rPr>
        <w:t>REP-2025-490</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10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OGD_07_HSE_Incident_Report.docx</w:t>
      </w:r>
    </w:p>
    <w:p>
      <w:pPr>
        <w:spacing w:before="240" w:after="80"/>
      </w:pPr>
      <w:r>
        <w:rPr>
          <w:b/>
          <w:color w:val="1F2D55"/>
          <w:sz w:val="26"/>
        </w:rPr>
        <w:t>Executive summary</w:t>
      </w:r>
    </w:p>
    <w:p>
      <w:pPr>
        <w:spacing w:after="80"/>
      </w:pPr>
      <w:r>
        <w:rPr>
          <w:i w:val="0"/>
          <w:sz w:val="20"/>
        </w:rPr>
        <w:t>This report (OGD 07 HSE Incident Report)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7.3</w:t>
            </w:r>
          </w:p>
        </w:tc>
        <w:tc>
          <w:tcPr>
            <w:tcW w:type="dxa" w:w="1728"/>
          </w:tcPr>
          <w:p>
            <w:r>
              <w:rPr>
                <w:sz w:val="18"/>
              </w:rPr>
              <w:t>16.3</w:t>
            </w:r>
          </w:p>
        </w:tc>
        <w:tc>
          <w:tcPr>
            <w:tcW w:type="dxa" w:w="1728"/>
          </w:tcPr>
          <w:p>
            <w:r>
              <w:rPr>
                <w:sz w:val="18"/>
              </w:rPr>
              <w:t>24.9</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