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PROC 05 Single Source Risk Register</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DOC-2026-202</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01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PROC_05_Single_Source_Risk_Register.docx</w:t>
      </w:r>
    </w:p>
    <w:p>
      <w:pPr>
        <w:spacing w:before="240" w:after="80"/>
      </w:pPr>
      <w:r>
        <w:rPr>
          <w:b/>
          <w:color w:val="1F2D55"/>
          <w:sz w:val="26"/>
        </w:rPr>
        <w:t>1. Purpose and context</w:t>
      </w:r>
    </w:p>
    <w:p>
      <w:pPr>
        <w:spacing w:after="80"/>
      </w:pPr>
      <w:r>
        <w:rPr>
          <w:i w:val="0"/>
          <w:sz w:val="20"/>
        </w:rPr>
        <w:t>This document covers the subject matter referenced in the title above (PROC 05 Single Source Risk Register).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