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PROC Award Policy</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GP-PROC-2026-243</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PROC_Award_Policy.docx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PROC Award Policy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