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REG 04 Licensee Fail TitanCapital</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DOC-2026-779</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06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REG_04_Licensee_Fail_TitanCapital.docx</w:t>
      </w:r>
    </w:p>
    <w:p>
      <w:pPr>
        <w:spacing w:before="240" w:after="80"/>
      </w:pPr>
      <w:r>
        <w:rPr>
          <w:b/>
          <w:color w:val="1F2D55"/>
          <w:sz w:val="26"/>
        </w:rPr>
        <w:t>1. Purpose and context</w:t>
      </w:r>
    </w:p>
    <w:p>
      <w:pPr>
        <w:spacing w:after="80"/>
      </w:pPr>
      <w:r>
        <w:rPr>
          <w:i w:val="0"/>
          <w:sz w:val="20"/>
        </w:rPr>
        <w:t>This document covers the subject matter referenced in the title above (REG 04 Licensee Fail TitanCapital).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