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SEMI 05 Customer Holding Lines</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DOC-2025-373</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05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SEMI_05_Customer_Holding_Lines.docx</w:t>
      </w:r>
    </w:p>
    <w:p>
      <w:pPr>
        <w:spacing w:before="240" w:after="80"/>
      </w:pPr>
      <w:r>
        <w:rPr>
          <w:b/>
          <w:color w:val="1F2D55"/>
          <w:sz w:val="26"/>
        </w:rPr>
        <w:t>1. Purpose and context</w:t>
      </w:r>
    </w:p>
    <w:p>
      <w:pPr>
        <w:spacing w:after="80"/>
      </w:pPr>
      <w:r>
        <w:rPr>
          <w:i w:val="0"/>
          <w:sz w:val="20"/>
        </w:rPr>
        <w:t>This document covers the subject matter referenced in the title above (SEMI 05 Customer Holding Lines).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