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SHC Audit Findings FY</w:t>
      </w:r>
    </w:p>
    <w:p>
      <w:pPr>
        <w:spacing w:after="200"/>
      </w:pPr>
      <w:r>
        <w:rPr>
          <w:i/>
          <w:color w:val="4B5B7C"/>
          <w:sz w:val="22"/>
        </w:rPr>
        <w:t>Internal Audit &amp; Assurance · Findings Pack</w:t>
      </w:r>
    </w:p>
    <w:p>
      <w:pPr>
        <w:spacing w:after="40"/>
      </w:pPr>
      <w:r>
        <w:rPr>
          <w:b/>
          <w:color w:val="1F2D55"/>
          <w:sz w:val="20"/>
        </w:rPr>
        <w:t xml:space="preserve">Audit reference:  </w:t>
      </w:r>
      <w:r>
        <w:rPr>
          <w:sz w:val="20"/>
        </w:rPr>
        <w:t>IA-2026-179</w:t>
      </w:r>
    </w:p>
    <w:p>
      <w:pPr>
        <w:spacing w:after="40"/>
      </w:pPr>
      <w:r>
        <w:rPr>
          <w:b/>
          <w:color w:val="1F2D55"/>
          <w:sz w:val="20"/>
        </w:rPr>
        <w:t xml:space="preserve">Period covered:  </w:t>
      </w:r>
      <w:r>
        <w:rPr>
          <w:sz w:val="20"/>
        </w:rPr>
        <w:t>Q1–Q3 FY2026</w:t>
      </w:r>
    </w:p>
    <w:p>
      <w:pPr>
        <w:spacing w:after="40"/>
      </w:pPr>
      <w:r>
        <w:rPr>
          <w:b/>
          <w:color w:val="1F2D55"/>
          <w:sz w:val="20"/>
        </w:rPr>
        <w:t xml:space="preserve">Audit sponsor:  </w:t>
      </w:r>
      <w:r>
        <w:rPr>
          <w:sz w:val="20"/>
        </w:rPr>
        <w:t>Hadar Caspit, Group CFO</w:t>
      </w:r>
    </w:p>
    <w:p>
      <w:pPr>
        <w:spacing w:after="40"/>
      </w:pPr>
      <w:r>
        <w:rPr>
          <w:b/>
          <w:color w:val="1F2D55"/>
          <w:sz w:val="20"/>
        </w:rPr>
        <w:t xml:space="preserve">Lead auditor:  </w:t>
      </w:r>
      <w:r>
        <w:rPr>
          <w:sz w:val="20"/>
        </w:rPr>
        <w:t>Sasha Ouellet (Internal Audit)</w:t>
      </w:r>
    </w:p>
    <w:p>
      <w:pPr>
        <w:spacing w:after="40"/>
      </w:pPr>
      <w:r>
        <w:rPr>
          <w:b/>
          <w:color w:val="1F2D55"/>
          <w:sz w:val="20"/>
        </w:rPr>
        <w:t xml:space="preserve">Issued:  </w:t>
      </w:r>
      <w:r>
        <w:rPr>
          <w:sz w:val="20"/>
        </w:rPr>
        <w:t>19 May 2026</w:t>
      </w:r>
    </w:p>
    <w:p>
      <w:pPr>
        <w:spacing w:after="40"/>
      </w:pPr>
      <w:r>
        <w:rPr>
          <w:b/>
          <w:color w:val="1F2D55"/>
          <w:sz w:val="20"/>
        </w:rPr>
        <w:t xml:space="preserve">Source file:  </w:t>
      </w:r>
      <w:r>
        <w:rPr>
          <w:sz w:val="20"/>
        </w:rPr>
        <w:t>SHC_Audit_Findings_FY.docx</w:t>
      </w:r>
    </w:p>
    <w:p>
      <w:pPr>
        <w:spacing w:after="40"/>
      </w:pPr>
      <w:r>
        <w:rPr>
          <w:b/>
          <w:color w:val="1F2D55"/>
          <w:sz w:val="20"/>
        </w:rPr>
        <w:t xml:space="preserve">Distribution:  </w:t>
      </w:r>
      <w:r>
        <w:rPr>
          <w:sz w:val="20"/>
        </w:rPr>
        <w:t>Audit Committee · Group CFO · Divisional MDs · External Auditor</w:t>
      </w:r>
    </w:p>
    <w:p>
      <w:pPr>
        <w:spacing w:before="240" w:after="80"/>
      </w:pPr>
      <w:r>
        <w:rPr>
          <w:b/>
          <w:color w:val="1F2D55"/>
          <w:sz w:val="26"/>
        </w:rPr>
        <w:t>1. Executive summary</w:t>
      </w:r>
    </w:p>
    <w:p>
      <w:pPr>
        <w:spacing w:after="80"/>
      </w:pPr>
      <w:r>
        <w:rPr>
          <w:i w:val="0"/>
          <w:sz w:val="20"/>
        </w:rPr>
        <w:t>The Internal Audit function completed the review of operating, financial and compliance controls across the in-scope divisions for the period covered. Twelve findings were raised: 2 rated High, 6 rated Medium and 4 rated Low. Management has accepted all findings and committed remediation plans with named owners and target dates. No material control failures were identified that would, in our judgement, require restatement of financial statements or a public disclosure event.</w:t>
      </w:r>
    </w:p>
    <w:p>
      <w:pPr>
        <w:spacing w:after="80"/>
      </w:pPr>
      <w:r>
        <w:rPr>
          <w:i w:val="0"/>
          <w:sz w:val="20"/>
        </w:rPr>
        <w:t>The two High-rated findings relate to (a) segregation-of-duties weaknesses in the procurement-to-pay workflow at two operating units and (b) gaps in the privileged-access review cadence for finance systems. Both are tracked for closure by end-Q4 FY2026 with weekly status reviews by the audit sponsor.</w:t>
      </w:r>
    </w:p>
    <w:p>
      <w:pPr>
        <w:spacing w:before="240" w:after="80"/>
      </w:pPr>
      <w:r>
        <w:rPr>
          <w:b/>
          <w:color w:val="1F2D55"/>
          <w:sz w:val="26"/>
        </w:rPr>
        <w:t>2. Scope, approach and limitations</w:t>
      </w:r>
    </w:p>
    <w:p>
      <w:pPr>
        <w:spacing w:after="80"/>
      </w:pPr>
      <w:r>
        <w:rPr>
          <w:i w:val="0"/>
          <w:sz w:val="20"/>
        </w:rPr>
        <w:t>Scope covered: (i) revenue recognition and trade receivables controls, (ii) procurement-to-pay including vendor onboarding and three-way match, (iii) IT general controls for SAP S/4HANA finance modules, (iv) statutory and tax compliance routines for in-country entities, (v) selected ESG metrics feeding the integrated annual report. Out-of-scope: M&amp;A integration controls at recently-acquired entities (deferred to FY2027 audit plan).</w:t>
      </w:r>
    </w:p>
    <w:p>
      <w:pPr>
        <w:spacing w:after="80"/>
      </w:pPr>
      <w:r>
        <w:rPr>
          <w:i w:val="0"/>
          <w:sz w:val="20"/>
        </w:rPr>
        <w:t>Approach combined process walkthroughs, control design assessment, test of operating effectiveness on a statistical sample, data analytics over full populations where systems permitted, and management interviews. Sample sizes and confidence intervals are documented in working papers W/P-IA-2026-118–160.</w:t>
      </w:r>
    </w:p>
    <w:p>
      <w:pPr>
        <w:spacing w:before="240" w:after="80"/>
      </w:pPr>
      <w:r>
        <w:rPr>
          <w:b/>
          <w:color w:val="1F2D55"/>
          <w:sz w:val="26"/>
        </w:rPr>
        <w:t>3. Findings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2D55"/>
          </w:tcPr>
          <w:p>
            <w:r>
              <w:rPr>
                <w:b/>
                <w:color w:val="FFFFFF"/>
                <w:sz w:val="18"/>
              </w:rPr>
              <w:t>Ref</w:t>
            </w:r>
          </w:p>
        </w:tc>
        <w:tc>
          <w:tcPr>
            <w:tcW w:type="dxa" w:w="1234"/>
            <w:shd w:val="clear" w:color="auto" w:fill="1F2D55"/>
          </w:tcPr>
          <w:p>
            <w:r>
              <w:rPr>
                <w:b/>
                <w:color w:val="FFFFFF"/>
                <w:sz w:val="18"/>
              </w:rPr>
              <w:t>Rating</w:t>
            </w:r>
          </w:p>
        </w:tc>
        <w:tc>
          <w:tcPr>
            <w:tcW w:type="dxa" w:w="1234"/>
            <w:shd w:val="clear" w:color="auto" w:fill="1F2D55"/>
          </w:tcPr>
          <w:p>
            <w:r>
              <w:rPr>
                <w:b/>
                <w:color w:val="FFFFFF"/>
                <w:sz w:val="18"/>
              </w:rPr>
              <w:t>Process area</w:t>
            </w:r>
          </w:p>
        </w:tc>
        <w:tc>
          <w:tcPr>
            <w:tcW w:type="dxa" w:w="1234"/>
            <w:shd w:val="clear" w:color="auto" w:fill="1F2D55"/>
          </w:tcPr>
          <w:p>
            <w:r>
              <w:rPr>
                <w:b/>
                <w:color w:val="FFFFFF"/>
                <w:sz w:val="18"/>
              </w:rPr>
              <w:t>Finding</w:t>
            </w:r>
          </w:p>
        </w:tc>
        <w:tc>
          <w:tcPr>
            <w:tcW w:type="dxa" w:w="1234"/>
            <w:shd w:val="clear" w:color="auto" w:fill="1F2D55"/>
          </w:tcPr>
          <w:p>
            <w:r>
              <w:rPr>
                <w:b/>
                <w:color w:val="FFFFFF"/>
                <w:sz w:val="18"/>
              </w:rPr>
              <w:t>Recommendation</w:t>
            </w:r>
          </w:p>
        </w:tc>
        <w:tc>
          <w:tcPr>
            <w:tcW w:type="dxa" w:w="1234"/>
            <w:shd w:val="clear" w:color="auto" w:fill="1F2D55"/>
          </w:tcPr>
          <w:p>
            <w:r>
              <w:rPr>
                <w:b/>
                <w:color w:val="FFFFFF"/>
                <w:sz w:val="18"/>
              </w:rPr>
              <w:t>Owner</w:t>
            </w:r>
          </w:p>
        </w:tc>
        <w:tc>
          <w:tcPr>
            <w:tcW w:type="dxa" w:w="1234"/>
            <w:shd w:val="clear" w:color="auto" w:fill="1F2D55"/>
          </w:tcPr>
          <w:p>
            <w:r>
              <w:rPr>
                <w:b/>
                <w:color w:val="FFFFFF"/>
                <w:sz w:val="18"/>
              </w:rPr>
              <w:t>Target date</w:t>
            </w:r>
          </w:p>
        </w:tc>
      </w:tr>
      <w:tr>
        <w:tc>
          <w:tcPr>
            <w:tcW w:type="dxa" w:w="1234"/>
          </w:tcPr>
          <w:p>
            <w:r>
              <w:rPr>
                <w:sz w:val="18"/>
              </w:rPr>
              <w:t>F-01</w:t>
            </w:r>
          </w:p>
        </w:tc>
        <w:tc>
          <w:tcPr>
            <w:tcW w:type="dxa" w:w="1234"/>
          </w:tcPr>
          <w:p>
            <w:r>
              <w:rPr>
                <w:sz w:val="18"/>
              </w:rPr>
              <w:t>High</w:t>
            </w:r>
          </w:p>
        </w:tc>
        <w:tc>
          <w:tcPr>
            <w:tcW w:type="dxa" w:w="1234"/>
          </w:tcPr>
          <w:p>
            <w:r>
              <w:rPr>
                <w:sz w:val="18"/>
              </w:rPr>
              <w:t>Procurement-to-pay</w:t>
            </w:r>
          </w:p>
        </w:tc>
        <w:tc>
          <w:tcPr>
            <w:tcW w:type="dxa" w:w="1234"/>
          </w:tcPr>
          <w:p>
            <w:r>
              <w:rPr>
                <w:sz w:val="18"/>
              </w:rPr>
              <w:t>Three-way match override used 14× in 30 days at SubCo-A without compensating control.</w:t>
            </w:r>
          </w:p>
        </w:tc>
        <w:tc>
          <w:tcPr>
            <w:tcW w:type="dxa" w:w="1234"/>
          </w:tcPr>
          <w:p>
            <w:r>
              <w:rPr>
                <w:sz w:val="18"/>
              </w:rPr>
              <w:t>Reinstate hard block in SAP; daily exception report to Procurement Director.</w:t>
            </w:r>
          </w:p>
        </w:tc>
        <w:tc>
          <w:tcPr>
            <w:tcW w:type="dxa" w:w="1234"/>
          </w:tcPr>
          <w:p>
            <w:r>
              <w:rPr>
                <w:sz w:val="18"/>
              </w:rPr>
              <w:t>Head of Procurement</w:t>
            </w:r>
          </w:p>
        </w:tc>
        <w:tc>
          <w:tcPr>
            <w:tcW w:type="dxa" w:w="1234"/>
          </w:tcPr>
          <w:p>
            <w:r>
              <w:rPr>
                <w:sz w:val="18"/>
              </w:rPr>
              <w:t>30 Jun 2026</w:t>
            </w:r>
          </w:p>
        </w:tc>
      </w:tr>
      <w:tr>
        <w:tc>
          <w:tcPr>
            <w:tcW w:type="dxa" w:w="1234"/>
          </w:tcPr>
          <w:p>
            <w:r>
              <w:rPr>
                <w:sz w:val="18"/>
              </w:rPr>
              <w:t>F-02</w:t>
            </w:r>
          </w:p>
        </w:tc>
        <w:tc>
          <w:tcPr>
            <w:tcW w:type="dxa" w:w="1234"/>
          </w:tcPr>
          <w:p>
            <w:r>
              <w:rPr>
                <w:sz w:val="18"/>
              </w:rPr>
              <w:t>High</w:t>
            </w:r>
          </w:p>
        </w:tc>
        <w:tc>
          <w:tcPr>
            <w:tcW w:type="dxa" w:w="1234"/>
          </w:tcPr>
          <w:p>
            <w:r>
              <w:rPr>
                <w:sz w:val="18"/>
              </w:rPr>
              <w:t>IT General Controls</w:t>
            </w:r>
          </w:p>
        </w:tc>
        <w:tc>
          <w:tcPr>
            <w:tcW w:type="dxa" w:w="1234"/>
          </w:tcPr>
          <w:p>
            <w:r>
              <w:rPr>
                <w:sz w:val="18"/>
              </w:rPr>
              <w:t>Privileged-access review cadence lapsed for 4 SAP finance roles (quarterly review missed in Q2).</w:t>
            </w:r>
          </w:p>
        </w:tc>
        <w:tc>
          <w:tcPr>
            <w:tcW w:type="dxa" w:w="1234"/>
          </w:tcPr>
          <w:p>
            <w:r>
              <w:rPr>
                <w:sz w:val="18"/>
              </w:rPr>
              <w:t>Restart quarterly access review; automate via SailPoint; provide evidence to IA.</w:t>
            </w:r>
          </w:p>
        </w:tc>
        <w:tc>
          <w:tcPr>
            <w:tcW w:type="dxa" w:w="1234"/>
          </w:tcPr>
          <w:p>
            <w:r>
              <w:rPr>
                <w:sz w:val="18"/>
              </w:rPr>
              <w:t>CISO</w:t>
            </w:r>
          </w:p>
        </w:tc>
        <w:tc>
          <w:tcPr>
            <w:tcW w:type="dxa" w:w="1234"/>
          </w:tcPr>
          <w:p>
            <w:r>
              <w:rPr>
                <w:sz w:val="18"/>
              </w:rPr>
              <w:t>15 Jun 2026</w:t>
            </w:r>
          </w:p>
        </w:tc>
      </w:tr>
      <w:tr>
        <w:tc>
          <w:tcPr>
            <w:tcW w:type="dxa" w:w="1234"/>
          </w:tcPr>
          <w:p>
            <w:r>
              <w:rPr>
                <w:sz w:val="18"/>
              </w:rPr>
              <w:t>F-03</w:t>
            </w:r>
          </w:p>
        </w:tc>
        <w:tc>
          <w:tcPr>
            <w:tcW w:type="dxa" w:w="1234"/>
          </w:tcPr>
          <w:p>
            <w:r>
              <w:rPr>
                <w:sz w:val="18"/>
              </w:rPr>
              <w:t>Med</w:t>
            </w:r>
          </w:p>
        </w:tc>
        <w:tc>
          <w:tcPr>
            <w:tcW w:type="dxa" w:w="1234"/>
          </w:tcPr>
          <w:p>
            <w:r>
              <w:rPr>
                <w:sz w:val="18"/>
              </w:rPr>
              <w:t>Revenue recognition</w:t>
            </w:r>
          </w:p>
        </w:tc>
        <w:tc>
          <w:tcPr>
            <w:tcW w:type="dxa" w:w="1234"/>
          </w:tcPr>
          <w:p>
            <w:r>
              <w:rPr>
                <w:sz w:val="18"/>
              </w:rPr>
              <w:t>Long-term contract milestones at Construction Division applied inconsistent stage-completion %.</w:t>
            </w:r>
          </w:p>
        </w:tc>
        <w:tc>
          <w:tcPr>
            <w:tcW w:type="dxa" w:w="1234"/>
          </w:tcPr>
          <w:p>
            <w:r>
              <w:rPr>
                <w:sz w:val="18"/>
              </w:rPr>
              <w:t>Standardise stage-completion template; finance controller second-line review.</w:t>
            </w:r>
          </w:p>
        </w:tc>
        <w:tc>
          <w:tcPr>
            <w:tcW w:type="dxa" w:w="1234"/>
          </w:tcPr>
          <w:p>
            <w:r>
              <w:rPr>
                <w:sz w:val="18"/>
              </w:rPr>
              <w:t>Group Financial Controller</w:t>
            </w:r>
          </w:p>
        </w:tc>
        <w:tc>
          <w:tcPr>
            <w:tcW w:type="dxa" w:w="1234"/>
          </w:tcPr>
          <w:p>
            <w:r>
              <w:rPr>
                <w:sz w:val="18"/>
              </w:rPr>
              <w:t>31 Jul 2026</w:t>
            </w:r>
          </w:p>
        </w:tc>
      </w:tr>
      <w:tr>
        <w:tc>
          <w:tcPr>
            <w:tcW w:type="dxa" w:w="1234"/>
          </w:tcPr>
          <w:p>
            <w:r>
              <w:rPr>
                <w:sz w:val="18"/>
              </w:rPr>
              <w:t>F-04</w:t>
            </w:r>
          </w:p>
        </w:tc>
        <w:tc>
          <w:tcPr>
            <w:tcW w:type="dxa" w:w="1234"/>
          </w:tcPr>
          <w:p>
            <w:r>
              <w:rPr>
                <w:sz w:val="18"/>
              </w:rPr>
              <w:t>Med</w:t>
            </w:r>
          </w:p>
        </w:tc>
        <w:tc>
          <w:tcPr>
            <w:tcW w:type="dxa" w:w="1234"/>
          </w:tcPr>
          <w:p>
            <w:r>
              <w:rPr>
                <w:sz w:val="18"/>
              </w:rPr>
              <w:t>Trade receivables</w:t>
            </w:r>
          </w:p>
        </w:tc>
        <w:tc>
          <w:tcPr>
            <w:tcW w:type="dxa" w:w="1234"/>
          </w:tcPr>
          <w:p>
            <w:r>
              <w:rPr>
                <w:sz w:val="18"/>
              </w:rPr>
              <w:t>Aged debtor balances &gt;180 days at Retail Distribution Division not provisioned per policy.</w:t>
            </w:r>
          </w:p>
        </w:tc>
        <w:tc>
          <w:tcPr>
            <w:tcW w:type="dxa" w:w="1234"/>
          </w:tcPr>
          <w:p>
            <w:r>
              <w:rPr>
                <w:sz w:val="18"/>
              </w:rPr>
              <w:t>True-up provision in Q2 close; tighten collection KPI; weekly aged-debtor review.</w:t>
            </w:r>
          </w:p>
        </w:tc>
        <w:tc>
          <w:tcPr>
            <w:tcW w:type="dxa" w:w="1234"/>
          </w:tcPr>
          <w:p>
            <w:r>
              <w:rPr>
                <w:sz w:val="18"/>
              </w:rPr>
              <w:t>Divisional CFO – Retail</w:t>
            </w:r>
          </w:p>
        </w:tc>
        <w:tc>
          <w:tcPr>
            <w:tcW w:type="dxa" w:w="1234"/>
          </w:tcPr>
          <w:p>
            <w:r>
              <w:rPr>
                <w:sz w:val="18"/>
              </w:rPr>
              <w:t>30 Jun 2026</w:t>
            </w:r>
          </w:p>
        </w:tc>
      </w:tr>
      <w:tr>
        <w:tc>
          <w:tcPr>
            <w:tcW w:type="dxa" w:w="1234"/>
          </w:tcPr>
          <w:p>
            <w:r>
              <w:rPr>
                <w:sz w:val="18"/>
              </w:rPr>
              <w:t>F-05</w:t>
            </w:r>
          </w:p>
        </w:tc>
        <w:tc>
          <w:tcPr>
            <w:tcW w:type="dxa" w:w="1234"/>
          </w:tcPr>
          <w:p>
            <w:r>
              <w:rPr>
                <w:sz w:val="18"/>
              </w:rPr>
              <w:t>Med</w:t>
            </w:r>
          </w:p>
        </w:tc>
        <w:tc>
          <w:tcPr>
            <w:tcW w:type="dxa" w:w="1234"/>
          </w:tcPr>
          <w:p>
            <w:r>
              <w:rPr>
                <w:sz w:val="18"/>
              </w:rPr>
              <w:t>Statutory compliance</w:t>
            </w:r>
          </w:p>
        </w:tc>
        <w:tc>
          <w:tcPr>
            <w:tcW w:type="dxa" w:w="1234"/>
          </w:tcPr>
          <w:p>
            <w:r>
              <w:rPr>
                <w:sz w:val="18"/>
              </w:rPr>
              <w:t>Withholding tax submissions for 2 cross-border service contracts filed 11 days late.</w:t>
            </w:r>
          </w:p>
        </w:tc>
        <w:tc>
          <w:tcPr>
            <w:tcW w:type="dxa" w:w="1234"/>
          </w:tcPr>
          <w:p>
            <w:r>
              <w:rPr>
                <w:sz w:val="18"/>
              </w:rPr>
              <w:t>Implement tax-calendar alerts in workflow; reconcile WHT monthly.</w:t>
            </w:r>
          </w:p>
        </w:tc>
        <w:tc>
          <w:tcPr>
            <w:tcW w:type="dxa" w:w="1234"/>
          </w:tcPr>
          <w:p>
            <w:r>
              <w:rPr>
                <w:sz w:val="18"/>
              </w:rPr>
              <w:t>Group Tax Manager</w:t>
            </w:r>
          </w:p>
        </w:tc>
        <w:tc>
          <w:tcPr>
            <w:tcW w:type="dxa" w:w="1234"/>
          </w:tcPr>
          <w:p>
            <w:r>
              <w:rPr>
                <w:sz w:val="18"/>
              </w:rPr>
              <w:t>15 Jul 2026</w:t>
            </w:r>
          </w:p>
        </w:tc>
      </w:tr>
      <w:tr>
        <w:tc>
          <w:tcPr>
            <w:tcW w:type="dxa" w:w="1234"/>
          </w:tcPr>
          <w:p>
            <w:r>
              <w:rPr>
                <w:sz w:val="18"/>
              </w:rPr>
              <w:t>F-06</w:t>
            </w:r>
          </w:p>
        </w:tc>
        <w:tc>
          <w:tcPr>
            <w:tcW w:type="dxa" w:w="1234"/>
          </w:tcPr>
          <w:p>
            <w:r>
              <w:rPr>
                <w:sz w:val="18"/>
              </w:rPr>
              <w:t>Med</w:t>
            </w:r>
          </w:p>
        </w:tc>
        <w:tc>
          <w:tcPr>
            <w:tcW w:type="dxa" w:w="1234"/>
          </w:tcPr>
          <w:p>
            <w:r>
              <w:rPr>
                <w:sz w:val="18"/>
              </w:rPr>
              <w:t>Vendor master</w:t>
            </w:r>
          </w:p>
        </w:tc>
        <w:tc>
          <w:tcPr>
            <w:tcW w:type="dxa" w:w="1234"/>
          </w:tcPr>
          <w:p>
            <w:r>
              <w:rPr>
                <w:sz w:val="18"/>
              </w:rPr>
              <w:t>47 dormant vendor records active &gt;18 months; risk of fraudulent reactivation.</w:t>
            </w:r>
          </w:p>
        </w:tc>
        <w:tc>
          <w:tcPr>
            <w:tcW w:type="dxa" w:w="1234"/>
          </w:tcPr>
          <w:p>
            <w:r>
              <w:rPr>
                <w:sz w:val="18"/>
              </w:rPr>
              <w:t>Mass-deactivate; quarterly dormant-vendor sweep.</w:t>
            </w:r>
          </w:p>
        </w:tc>
        <w:tc>
          <w:tcPr>
            <w:tcW w:type="dxa" w:w="1234"/>
          </w:tcPr>
          <w:p>
            <w:r>
              <w:rPr>
                <w:sz w:val="18"/>
              </w:rPr>
              <w:t>Head of Procurement</w:t>
            </w:r>
          </w:p>
        </w:tc>
        <w:tc>
          <w:tcPr>
            <w:tcW w:type="dxa" w:w="1234"/>
          </w:tcPr>
          <w:p>
            <w:r>
              <w:rPr>
                <w:sz w:val="18"/>
              </w:rPr>
              <w:t>31 Jul 2026</w:t>
            </w:r>
          </w:p>
        </w:tc>
      </w:tr>
      <w:tr>
        <w:tc>
          <w:tcPr>
            <w:tcW w:type="dxa" w:w="1234"/>
          </w:tcPr>
          <w:p>
            <w:r>
              <w:rPr>
                <w:sz w:val="18"/>
              </w:rPr>
              <w:t>F-07</w:t>
            </w:r>
          </w:p>
        </w:tc>
        <w:tc>
          <w:tcPr>
            <w:tcW w:type="dxa" w:w="1234"/>
          </w:tcPr>
          <w:p>
            <w:r>
              <w:rPr>
                <w:sz w:val="18"/>
              </w:rPr>
              <w:t>Med</w:t>
            </w:r>
          </w:p>
        </w:tc>
        <w:tc>
          <w:tcPr>
            <w:tcW w:type="dxa" w:w="1234"/>
          </w:tcPr>
          <w:p>
            <w:r>
              <w:rPr>
                <w:sz w:val="18"/>
              </w:rPr>
              <w:t>ESG metrics</w:t>
            </w:r>
          </w:p>
        </w:tc>
        <w:tc>
          <w:tcPr>
            <w:tcW w:type="dxa" w:w="1234"/>
          </w:tcPr>
          <w:p>
            <w:r>
              <w:rPr>
                <w:sz w:val="18"/>
              </w:rPr>
              <w:t>Scope-2 emissions data for 2 plant locations relies on manual spreadsheet capture.</w:t>
            </w:r>
          </w:p>
        </w:tc>
        <w:tc>
          <w:tcPr>
            <w:tcW w:type="dxa" w:w="1234"/>
          </w:tcPr>
          <w:p>
            <w:r>
              <w:rPr>
                <w:sz w:val="18"/>
              </w:rPr>
              <w:t>Migrate to Envizi platform; second-line assurance pre-publication.</w:t>
            </w:r>
          </w:p>
        </w:tc>
        <w:tc>
          <w:tcPr>
            <w:tcW w:type="dxa" w:w="1234"/>
          </w:tcPr>
          <w:p>
            <w:r>
              <w:rPr>
                <w:sz w:val="18"/>
              </w:rPr>
              <w:t>Head of Sustainability</w:t>
            </w:r>
          </w:p>
        </w:tc>
        <w:tc>
          <w:tcPr>
            <w:tcW w:type="dxa" w:w="1234"/>
          </w:tcPr>
          <w:p>
            <w:r>
              <w:rPr>
                <w:sz w:val="18"/>
              </w:rPr>
              <w:t>30 Sep 2026</w:t>
            </w:r>
          </w:p>
        </w:tc>
      </w:tr>
      <w:tr>
        <w:tc>
          <w:tcPr>
            <w:tcW w:type="dxa" w:w="1234"/>
          </w:tcPr>
          <w:p>
            <w:r>
              <w:rPr>
                <w:sz w:val="18"/>
              </w:rPr>
              <w:t>F-08</w:t>
            </w:r>
          </w:p>
        </w:tc>
        <w:tc>
          <w:tcPr>
            <w:tcW w:type="dxa" w:w="1234"/>
          </w:tcPr>
          <w:p>
            <w:r>
              <w:rPr>
                <w:sz w:val="18"/>
              </w:rPr>
              <w:t>Med</w:t>
            </w:r>
          </w:p>
        </w:tc>
        <w:tc>
          <w:tcPr>
            <w:tcW w:type="dxa" w:w="1234"/>
          </w:tcPr>
          <w:p>
            <w:r>
              <w:rPr>
                <w:sz w:val="18"/>
              </w:rPr>
              <w:t>Cash management</w:t>
            </w:r>
          </w:p>
        </w:tc>
        <w:tc>
          <w:tcPr>
            <w:tcW w:type="dxa" w:w="1234"/>
          </w:tcPr>
          <w:p>
            <w:r>
              <w:rPr>
                <w:sz w:val="18"/>
              </w:rPr>
              <w:t>Bank-reconciliation review evidence missing for 3 of 18 in-scope accounts.</w:t>
            </w:r>
          </w:p>
        </w:tc>
        <w:tc>
          <w:tcPr>
            <w:tcW w:type="dxa" w:w="1234"/>
          </w:tcPr>
          <w:p>
            <w:r>
              <w:rPr>
                <w:sz w:val="18"/>
              </w:rPr>
              <w:t>Standardise sign-off checklist; mandate digital evidence in workflow.</w:t>
            </w:r>
          </w:p>
        </w:tc>
        <w:tc>
          <w:tcPr>
            <w:tcW w:type="dxa" w:w="1234"/>
          </w:tcPr>
          <w:p>
            <w:r>
              <w:rPr>
                <w:sz w:val="18"/>
              </w:rPr>
              <w:t>Group Treasurer</w:t>
            </w:r>
          </w:p>
        </w:tc>
        <w:tc>
          <w:tcPr>
            <w:tcW w:type="dxa" w:w="1234"/>
          </w:tcPr>
          <w:p>
            <w:r>
              <w:rPr>
                <w:sz w:val="18"/>
              </w:rPr>
              <w:t>30 Jun 2026</w:t>
            </w:r>
          </w:p>
        </w:tc>
      </w:tr>
      <w:tr>
        <w:tc>
          <w:tcPr>
            <w:tcW w:type="dxa" w:w="1234"/>
          </w:tcPr>
          <w:p>
            <w:r>
              <w:rPr>
                <w:sz w:val="18"/>
              </w:rPr>
              <w:t>F-09</w:t>
            </w:r>
          </w:p>
        </w:tc>
        <w:tc>
          <w:tcPr>
            <w:tcW w:type="dxa" w:w="1234"/>
          </w:tcPr>
          <w:p>
            <w:r>
              <w:rPr>
                <w:sz w:val="18"/>
              </w:rPr>
              <w:t>Low</w:t>
            </w:r>
          </w:p>
        </w:tc>
        <w:tc>
          <w:tcPr>
            <w:tcW w:type="dxa" w:w="1234"/>
          </w:tcPr>
          <w:p>
            <w:r>
              <w:rPr>
                <w:sz w:val="18"/>
              </w:rPr>
              <w:t>Inventory count</w:t>
            </w:r>
          </w:p>
        </w:tc>
        <w:tc>
          <w:tcPr>
            <w:tcW w:type="dxa" w:w="1234"/>
          </w:tcPr>
          <w:p>
            <w:r>
              <w:rPr>
                <w:sz w:val="18"/>
              </w:rPr>
              <w:t>Year-end count variance at one plant &gt;0.5% threshold; root cause cycle-count gaps.</w:t>
            </w:r>
          </w:p>
        </w:tc>
        <w:tc>
          <w:tcPr>
            <w:tcW w:type="dxa" w:w="1234"/>
          </w:tcPr>
          <w:p>
            <w:r>
              <w:rPr>
                <w:sz w:val="18"/>
              </w:rPr>
              <w:t>Daily cycle-count cadence; root-cause register reviewed monthly.</w:t>
            </w:r>
          </w:p>
        </w:tc>
        <w:tc>
          <w:tcPr>
            <w:tcW w:type="dxa" w:w="1234"/>
          </w:tcPr>
          <w:p>
            <w:r>
              <w:rPr>
                <w:sz w:val="18"/>
              </w:rPr>
              <w:t>Plant GM (Industrial)</w:t>
            </w:r>
          </w:p>
        </w:tc>
        <w:tc>
          <w:tcPr>
            <w:tcW w:type="dxa" w:w="1234"/>
          </w:tcPr>
          <w:p>
            <w:r>
              <w:rPr>
                <w:sz w:val="18"/>
              </w:rPr>
              <w:t>31 Aug 2026</w:t>
            </w:r>
          </w:p>
        </w:tc>
      </w:tr>
      <w:tr>
        <w:tc>
          <w:tcPr>
            <w:tcW w:type="dxa" w:w="1234"/>
          </w:tcPr>
          <w:p>
            <w:r>
              <w:rPr>
                <w:sz w:val="18"/>
              </w:rPr>
              <w:t>F-10</w:t>
            </w:r>
          </w:p>
        </w:tc>
        <w:tc>
          <w:tcPr>
            <w:tcW w:type="dxa" w:w="1234"/>
          </w:tcPr>
          <w:p>
            <w:r>
              <w:rPr>
                <w:sz w:val="18"/>
              </w:rPr>
              <w:t>Low</w:t>
            </w:r>
          </w:p>
        </w:tc>
        <w:tc>
          <w:tcPr>
            <w:tcW w:type="dxa" w:w="1234"/>
          </w:tcPr>
          <w:p>
            <w:r>
              <w:rPr>
                <w:sz w:val="18"/>
              </w:rPr>
              <w:t>Travel &amp; expense</w:t>
            </w:r>
          </w:p>
        </w:tc>
        <w:tc>
          <w:tcPr>
            <w:tcW w:type="dxa" w:w="1234"/>
          </w:tcPr>
          <w:p>
            <w:r>
              <w:rPr>
                <w:sz w:val="18"/>
              </w:rPr>
              <w:t>12 expense claims missing supporting receipts &gt;MYR 500 threshold.</w:t>
            </w:r>
          </w:p>
        </w:tc>
        <w:tc>
          <w:tcPr>
            <w:tcW w:type="dxa" w:w="1234"/>
          </w:tcPr>
          <w:p>
            <w:r>
              <w:rPr>
                <w:sz w:val="18"/>
              </w:rPr>
              <w:t>Reissue T&amp;E policy reminder; auto-reject claims without attachments.</w:t>
            </w:r>
          </w:p>
        </w:tc>
        <w:tc>
          <w:tcPr>
            <w:tcW w:type="dxa" w:w="1234"/>
          </w:tcPr>
          <w:p>
            <w:r>
              <w:rPr>
                <w:sz w:val="18"/>
              </w:rPr>
              <w:t>Head of Finance Shared Services</w:t>
            </w:r>
          </w:p>
        </w:tc>
        <w:tc>
          <w:tcPr>
            <w:tcW w:type="dxa" w:w="1234"/>
          </w:tcPr>
          <w:p>
            <w:r>
              <w:rPr>
                <w:sz w:val="18"/>
              </w:rPr>
              <w:t>31 May 2026</w:t>
            </w:r>
          </w:p>
        </w:tc>
      </w:tr>
      <w:tr>
        <w:tc>
          <w:tcPr>
            <w:tcW w:type="dxa" w:w="1234"/>
          </w:tcPr>
          <w:p>
            <w:r>
              <w:rPr>
                <w:sz w:val="18"/>
              </w:rPr>
              <w:t>F-11</w:t>
            </w:r>
          </w:p>
        </w:tc>
        <w:tc>
          <w:tcPr>
            <w:tcW w:type="dxa" w:w="1234"/>
          </w:tcPr>
          <w:p>
            <w:r>
              <w:rPr>
                <w:sz w:val="18"/>
              </w:rPr>
              <w:t>Low</w:t>
            </w:r>
          </w:p>
        </w:tc>
        <w:tc>
          <w:tcPr>
            <w:tcW w:type="dxa" w:w="1234"/>
          </w:tcPr>
          <w:p>
            <w:r>
              <w:rPr>
                <w:sz w:val="18"/>
              </w:rPr>
              <w:t>Board minutes</w:t>
            </w:r>
          </w:p>
        </w:tc>
        <w:tc>
          <w:tcPr>
            <w:tcW w:type="dxa" w:w="1234"/>
          </w:tcPr>
          <w:p>
            <w:r>
              <w:rPr>
                <w:sz w:val="18"/>
              </w:rPr>
              <w:t>2 board sub-committee minutes pending sign-off &gt;60 days.</w:t>
            </w:r>
          </w:p>
        </w:tc>
        <w:tc>
          <w:tcPr>
            <w:tcW w:type="dxa" w:w="1234"/>
          </w:tcPr>
          <w:p>
            <w:r>
              <w:rPr>
                <w:sz w:val="18"/>
              </w:rPr>
              <w:t>Tighten secretariat workflow; track via OneDrive document approval.</w:t>
            </w:r>
          </w:p>
        </w:tc>
        <w:tc>
          <w:tcPr>
            <w:tcW w:type="dxa" w:w="1234"/>
          </w:tcPr>
          <w:p>
            <w:r>
              <w:rPr>
                <w:sz w:val="18"/>
              </w:rPr>
              <w:t>Group Company Secretary</w:t>
            </w:r>
          </w:p>
        </w:tc>
        <w:tc>
          <w:tcPr>
            <w:tcW w:type="dxa" w:w="1234"/>
          </w:tcPr>
          <w:p>
            <w:r>
              <w:rPr>
                <w:sz w:val="18"/>
              </w:rPr>
              <w:t>30 Jun 2026</w:t>
            </w:r>
          </w:p>
        </w:tc>
      </w:tr>
      <w:tr>
        <w:tc>
          <w:tcPr>
            <w:tcW w:type="dxa" w:w="1234"/>
          </w:tcPr>
          <w:p>
            <w:r>
              <w:rPr>
                <w:sz w:val="18"/>
              </w:rPr>
              <w:t>F-12</w:t>
            </w:r>
          </w:p>
        </w:tc>
        <w:tc>
          <w:tcPr>
            <w:tcW w:type="dxa" w:w="1234"/>
          </w:tcPr>
          <w:p>
            <w:r>
              <w:rPr>
                <w:sz w:val="18"/>
              </w:rPr>
              <w:t>Low</w:t>
            </w:r>
          </w:p>
        </w:tc>
        <w:tc>
          <w:tcPr>
            <w:tcW w:type="dxa" w:w="1234"/>
          </w:tcPr>
          <w:p>
            <w:r>
              <w:rPr>
                <w:sz w:val="18"/>
              </w:rPr>
              <w:t>Data privacy</w:t>
            </w:r>
          </w:p>
        </w:tc>
        <w:tc>
          <w:tcPr>
            <w:tcW w:type="dxa" w:w="1234"/>
          </w:tcPr>
          <w:p>
            <w:r>
              <w:rPr>
                <w:sz w:val="18"/>
              </w:rPr>
              <w:t>Customer-data retention schedule not formally approved by data steward.</w:t>
            </w:r>
          </w:p>
        </w:tc>
        <w:tc>
          <w:tcPr>
            <w:tcW w:type="dxa" w:w="1234"/>
          </w:tcPr>
          <w:p>
            <w:r>
              <w:rPr>
                <w:sz w:val="18"/>
              </w:rPr>
              <w:t>Document Data Retention Standard; obtain DPO sign-off.</w:t>
            </w:r>
          </w:p>
        </w:tc>
        <w:tc>
          <w:tcPr>
            <w:tcW w:type="dxa" w:w="1234"/>
          </w:tcPr>
          <w:p>
            <w:r>
              <w:rPr>
                <w:sz w:val="18"/>
              </w:rPr>
              <w:t>Data Protection Officer</w:t>
            </w:r>
          </w:p>
        </w:tc>
        <w:tc>
          <w:tcPr>
            <w:tcW w:type="dxa" w:w="1234"/>
          </w:tcPr>
          <w:p>
            <w:r>
              <w:rPr>
                <w:sz w:val="18"/>
              </w:rPr>
              <w:t>31 Jul 2026</w:t>
            </w:r>
          </w:p>
        </w:tc>
      </w:tr>
    </w:tbl>
    <w:p>
      <w:pPr>
        <w:spacing w:before="240" w:after="80"/>
      </w:pPr>
      <w:r>
        <w:rPr>
          <w:b/>
          <w:color w:val="1F2D55"/>
          <w:sz w:val="26"/>
        </w:rPr>
        <w:t>4. Management response &amp; action plan</w:t>
      </w:r>
    </w:p>
    <w:p>
      <w:pPr>
        <w:spacing w:after="80"/>
      </w:pPr>
      <w:r>
        <w:rPr>
          <w:i w:val="0"/>
          <w:sz w:val="20"/>
        </w:rPr>
        <w:t>Management agrees with all findings and the proposed recommendations. The action plan above will be tracked monthly in the Group Risk &amp; Audit Committee dashboard. Closure evidence (artefacts, walkthrough screenshots, attestation memos) will be filed against each finding in the IA SharePoint repository.</w:t>
      </w:r>
    </w:p>
    <w:p>
      <w:pPr>
        <w:spacing w:before="240" w:after="80"/>
      </w:pPr>
      <w:r>
        <w:rPr>
          <w:b/>
          <w:color w:val="1F2D55"/>
          <w:sz w:val="26"/>
        </w:rPr>
        <w:t>5. Repeat findings analysis</w:t>
      </w:r>
    </w:p>
    <w:p>
      <w:pPr>
        <w:spacing w:after="80"/>
      </w:pPr>
      <w:r>
        <w:rPr>
          <w:i w:val="0"/>
          <w:sz w:val="20"/>
        </w:rPr>
        <w:t>Three findings (F-03 stage-completion %, F-08 bank-rec evidence, F-10 T&amp;E receipts) are repeats from prior periods. Internal Audit will conduct a focused follow-up audit in Q1 FY2027 to verify sustainability of remediation.</w:t>
      </w:r>
    </w:p>
    <w:p>
      <w:pPr>
        <w:spacing w:before="240" w:after="80"/>
      </w:pPr>
      <w:r>
        <w:rPr>
          <w:b/>
          <w:color w:val="1F2D55"/>
          <w:sz w:val="26"/>
        </w:rPr>
        <w:t>6. Appendices</w:t>
      </w:r>
    </w:p>
    <w:p>
      <w:pPr>
        <w:pStyle w:val="ListBullet"/>
        <w:spacing w:after="40"/>
      </w:pPr>
      <w:r>
        <w:rPr>
          <w:sz w:val="20"/>
        </w:rPr>
        <w:t>Appendix A — Detailed test population and sample selection methodology</w:t>
      </w:r>
    </w:p>
    <w:p>
      <w:pPr>
        <w:pStyle w:val="ListBullet"/>
        <w:spacing w:after="40"/>
      </w:pPr>
      <w:r>
        <w:rPr>
          <w:sz w:val="20"/>
        </w:rPr>
        <w:t>Appendix B — Control matrix mapped to BNM-compliant operating risk taxonomy</w:t>
      </w:r>
    </w:p>
    <w:p>
      <w:pPr>
        <w:pStyle w:val="ListBullet"/>
        <w:spacing w:after="40"/>
      </w:pPr>
      <w:r>
        <w:rPr>
          <w:sz w:val="20"/>
        </w:rPr>
        <w:t>Appendix C — Management responses (full text) with named accountable owners</w:t>
      </w:r>
    </w:p>
    <w:p>
      <w:pPr>
        <w:pStyle w:val="ListBullet"/>
        <w:spacing w:after="40"/>
      </w:pPr>
      <w:r>
        <w:rPr>
          <w:sz w:val="20"/>
        </w:rPr>
        <w:t>Appendix D — Closure-evidence log for prior-period findings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